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2023年卫生健康工作总结和2024年卫生健康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工作安排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3年，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在旗委、旗政府的领导下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在市卫健委的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指导下，总结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年卫生健康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、重点项目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分析工作中存在的问题和困难，制定2024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卫生健康工作计划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（一）坚持学思践悟，扎实开展主题教育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成立了卫生健康系统党委主题教育领导小组及办公室，及时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召开推进工作会议，安排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部署相关工作，开展各类集体学习、专题研讨40余场次，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制作主题教育条幅50余幅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、展板8块、宣传海报40余张，刊发公众号文章30余篇。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结合卫生健康行业特点，查堵点、破难题，摸清社情民意、解决实际问题。18名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科级领导干部围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绕医疗卫生人才队伍建设、提升基层医疗卫生服务机构能力、医德医风建设、清廉医院建设等认领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调研课题18个，调研走访50余次，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通过一线调研、座谈交流等渠道，广泛收集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医疗卫生方面突出问题9个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，逐一建立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问题清单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责任清单、任务清单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，目前已全部整改完成。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（二）坚持党建统领，坚定不移推进党风廉政建设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落实党建责任清单制度，积极开展“五型机关（医院）”创建工作，择优选树一批“学习型、创新型、廉洁型、节约型、为民型”机关（医院）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严格落实意识形态工作责任制，筑牢网络意识形态安全屏障，开展意识形态安全研判会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次，安排部署会议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组织党委理论中心组学习25次，研讨4次。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驰而不息推进党风廉政建设和反腐败斗争，加快推进“清廉机关”“清廉医院”建设。开展警示教育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次，新提拔干部任前谈话8人次，廉政谈话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余人次；持续巩固以案促改专项整治成果。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（三）医药卫生领域集中整治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系统内外动员部署会议2次，会商会议2次，开展自查自纠累计排查1693人，“关键少数”（关键岗位）自查，累计排查473人。成立工作专班，公示举报投诉方式，受理投诉，举报医德医风等问题线索，并开展调查核实，上报核实结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每周撰写工作动态，已印发5期。建立完善部门间的沟通协作机制，建立日调度，周通报，月会商制度。集中整治工作已开展扩面排查。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（四）全面推进健康克旗建设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健康克旗工作有序推进。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健康克旗行动推委办分别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召开了健康克旗行动推委办会议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专项行动工作推进会及协调会议，全力推进健康克旗行动各项工作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完成《建设健康克旗 增进民生福祉——内蒙古自治区克什克腾旗案例》，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我旗被评为2022年全国健康县区建设优秀案例和典型经验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积极开展爱国卫生活动。成立了克什克腾旗创建国家卫生城镇领导小组，进一步推动了国家卫生城镇的创建工作。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与旗融媒体中心联合创办了《健康进万家》电视栏目，预计播制</w:t>
      </w:r>
      <w:r>
        <w:rPr>
          <w:rFonts w:hint="eastAsia" w:ascii="仿宋_GB2312" w:eastAsia="仿宋_GB2312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进一步扩大了科普宣传平台。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在克旗政府网健康克旗专栏、健康克什克腾微信公众平台、健康克旗网站发布健康科普知识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。目前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在健康克什克腾旗公众号上转发转载了594篇健康科普知识和工作动态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截至目前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向各级各类宣传媒体报送高质量信息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2篇，上三级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42条</w:t>
      </w:r>
      <w:r>
        <w:rPr>
          <w:rFonts w:hint="eastAsia" w:ascii="仿宋_GB2312" w:hAnsi="黑体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（五）创建全国基层中医药工作示范县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召开了创建克什克腾旗全国基层中医药工作示范县启动会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制发了实施方案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成立了创建领导组织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对创建工作进行了任务分解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评估工作组采取实地检查、查阅资料、随机走访、满意度测评、听取相关部门领导介绍、访谈等初审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921分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超出国家标准51分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推动紧密型医共体试点建设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作为紧密型医共体自治区试点单位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成立了旗政府主要领导任主任的旗域紧密型医共体管理委员会，下发了紧密型医共体建设方案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建立“2+11+N”的医共体模式，确定4个紧密型医共体试点，试点单位明确实行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“六统一”管理。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医共体总院开展了“上挂下派”工作，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旗直医疗机构派业务骨干到基层卫生院开展门诊诊疗、带教查房、带教手术等工作，多方面提升基层医疗机构服务能力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）旗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直医疗机构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综合服务能力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深化医疗卫生体制改革三年攻坚行动。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公立医院运营管理三年攻坚行动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加强公立医院成本管理和公立医院绩效管理。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公立医院临床重点专科建设三年攻坚行动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力争在202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旗人民医院建设市级重点专科呼吸与危重症学科、旗级重点专科消化内科、内分泌科、神经内科。旗中蒙医院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建成国家级重点专科中医脑病科、市级重点专科心病科、急诊科、重症医学科、神志科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达到补齐基层专科短板，加强专科队伍建设。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紧密型县域医共体建设三年攻坚行动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加快推进管理体制改革，实现“六统一”管理，做实医疗卫生服务水平。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开展医疗服务三年攻坚行动，完善医疗质量管理与控制体系，加强医疗质量安全管理，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实施临床专科能力提升和改善医疗服务三年攻坚行动。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制定并印发了《克什克腾旗开展医德医风建设提高群众就医满意度专项行动方案》，召开了工作部署会议，教育引导医务工作者转变工作方式，持续改善患者就医体验。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加快推进医院信息化建设。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按照自治区智慧医院建设要求，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旗人民医院互联网医院已完成前期申报工作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克什克腾旗中医药（蒙医药）适宜技术推广中心荣获第一批自治区中医药（蒙医药）适宜技术推广中心称号；克什克腾旗中医蒙医医院荣获第三批自治区中医药（蒙医药）文化宣传教育基地称号。旗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中医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蒙医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院针灸推拿科、中医骨伤科通过第二批自治区中医临床重点专科验收。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基层医疗卫生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基本公共卫生服务项目培训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2次，召开专题会议3次。截至目前共有居民电子健康档案185194份，建档率90%以上。其中65岁以上老年人30862人，高血压管理人数33552人，糖尿病管理人数4839人，严重精神障碍患者管理1168人。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庭医生签约工作进一步完善，补充了旗乡村三级家庭医生签约服务团队，现共有家庭医生签约服务团队123个，其中旗级签约服务团队8个，基层签约服务团队115个。团队签约共有医生、护士等人员500人，其中基层签约服务团队成员476人，旗级签约医生24人。截至目前，总签约覆盖率61%，重点人群覆盖率86%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妇幼卫生健康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充分落实母婴安全五项制度，调整了“母婴安全领导小组及危重孕产妇和危重儿抢救组成员”等组织机构，完善了母婴安全管理约谈通报等制度。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开展两癌筛查项目提质扩面，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本年宫颈癌筛查任务完成率100%。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孕产妇系统管理率94.67%，产前筛查率达到92.75%。孕产妇艾滋病、梅毒、乙肝病毒检测率100%。孕早期检查率逐步提高，住院分娩检查率100%。妇幼健康促进行动服务的公平性、可及性、满意度不断提升。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疾病预防控制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持续做好疫情防控工作。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提升鼠疫疫情监测预警能力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，持续加强新冠病毒感染疫情监测和形势分析，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加强重大传染病的预防与控制工作。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全面加强免疫规划和预防接种管理工作。加强常规免疫和儿童管理工作，坚决杜绝“0”剂次儿童的出现，保障国家免疫规划疫苗接种率。规范苏木乡镇狂犬病预防门诊建设和数字化门诊建设工作，我旗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22所接种门诊全部升级为数字化门诊。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所简易数字化接种门诊和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狂犬病预防门诊的改建。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二、重点项目进展情况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中医蒙医医院建设项目总投资2.4亿元，分三期建设，其中一期门诊医技楼建设项目投资7650万元，总占地面积16851平方米，于2023年6月9日开工建设，预计11月完成封顶；二期病房楼及行政综合楼建设项目投资13645万元，总占地面积27821平方米，预计2024年7月开工建设，2026年12月建成投入使用；三期医疗设备购置项目投资3082万元（其中专项债券2400万元），2023年7月项目资金已到位，10月9日已开标，预计11月设备进场安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三、工作中存在问题和困难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（一）人才引进难，流失严重，专业技术人员匮乏。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赤峰市内及周边三级、二级医院扩张迅猛，虹吸现象严重，频繁招聘技术成熟的医师或医师团队，对我旗公立医院和乡镇苏木卫生院人才队伍冲击明显，频繁出现医师等专业技术人员辞职，到旗域外医疗机构任职现象。同时我旗的人才引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相对其他地区无任何优势，造成对外招聘、招录工作成果不显著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（二）重点特色专科建设滞后，</w:t>
      </w: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基础学科发展不足</w:t>
      </w: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学科建设水平不高，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缺少特色专科及学科带头人和知名专家，造成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旗域患者流失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after="0" w:line="560" w:lineRule="exact"/>
        <w:ind w:firstLine="56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（三）旗级财力匮乏，对医疗机构应承担的六项投入不足。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立医院的基本建设、大型设备购置、重点学科发展、人才队伍建设、离退休人员费用和承担公共卫生服务等方面予以补助未进行预算，对公立医院发展造成制约，公立医院运营成本压力较大，不利于公立医院发展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我旗作为自治区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紧密型县域医共体建设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试点单位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，“六统一”管理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还有部分工作落实不到位，医共体内信息化建设无资金支持，进展缓慢。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after="0" w:line="560" w:lineRule="exact"/>
        <w:ind w:firstLine="560"/>
        <w:jc w:val="both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（四）医疗纠纷预防与处置能力亟待提高。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医疗纠纷和投诉呈上升趋势。群众反映的主要是医患沟通、医疗质量、就医流程等方面问题。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医疗机构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处理医疗纠纷过程中，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存在医患沟通不够、轻视群众诉求、处理纠纷时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无担当意识的情况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，导致了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纠纷不能及时解决，甚至出现缠访、闹访现象。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四、下一步工作安排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（一）持续深化医药卫生体制改革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after="0"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医共体建设牵头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单位，要按照建设方向，推动各项建设任务落实，发挥好辐射引领作用。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加强公立医院临床重点专科建设。各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医院要制定专科建设规划，按照规划的专科建设方向，争取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财政支持，加强项目资金使用管理，强化人才培养和技术引进，保障重点专科取得实效，形成一院一专科、一院一特色的诊疗格局。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医疗机构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持续推进绩效考核。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二级及以上公立医院，加强绩效考核管理，将国家公立医院绩效考核与医院日常管理相结合，充分发挥绩效考核指挥棒作用，严格按照医院功能定位，提升医疗服务整体效率。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持续推进医院评审评价。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旗人民医院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要按照《二级医院评审方案和细则（试行）》，认真组织实施，坚持以评促建、以评促改、评建结合、重在内涵的方针，用评审评价引导公立医院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中医蒙医医院要根据《全区三级中医（蒙医）医院评审发现问题清单》，成立自查组，对照全区三级中医（蒙医）医院评审发现问题清单，进行全面自查，逐条检查梳理单位内存在问题，对应制定整改措施，立即整改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持续加强智慧医院建设。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公立医院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加快推进电子病历、智慧服务、智慧管理“三位一体”的智慧医院信息系统建设。不断优化服务流程和服务模式，推进线上线下一体化医疗服务模式。年底前，二级和三级公立医院电子病历应用水平分别达到3级和4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/>
        <w:spacing w:after="0" w:line="560" w:lineRule="exact"/>
        <w:ind w:left="1060" w:leftChars="0" w:hanging="42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进一步改善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以推进公立医院综合改革为契机，持续改进医疗管理方式方法。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三加强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推进“改善群众就医感受 提升患者就医体验”主题活动，持续规范诊疗行为，促进合理医疗检查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合理用药管理，继续加强用药监测和合理用药考核，做好抗菌药物、抗肿瘤药物、重点监控药物等临床使用管理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规章制度体系建设，要结合医药领域集中整治工作查找关键环节、关键岗位中的漏洞短板，及时健全完善工作制度，推进医院内部管理规范化制度化。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“三推广”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继续推广诊疗新模式。全旗二级以上公立医院要将预约诊疗、日间手术、多学科诊疗、快速康复、一站式服务等服务模式常态化、制度化；推广新技术。高水平的医院将联合高等院校、科研机构，积极开展新技术研发、使用、推广，探索开展临床研究和转化；推广新手段。二级以上公立医院将以智慧医院建设为目标，加快信息系统建设，继续推进“互联网医疗”工作，用医疗服务的新模式、新技术、新手段，带动医疗服务能力提升，为患者提供看病就医的新体验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全方位推进健康克旗建设和国家卫生城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创建工作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全面推进健康克旗行动，</w:t>
      </w:r>
      <w:r>
        <w:rPr>
          <w:rFonts w:hint="default" w:ascii="仿宋_GB2312" w:hAnsi="Calibri" w:eastAsia="仿宋_GB2312" w:cs="Calibri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加强健康环境建设，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全力开展国民营养计划和合理膳食行动。持续推进职业病危害专项治理，深入开展</w:t>
      </w:r>
      <w:r>
        <w:rPr>
          <w:rFonts w:hint="default" w:ascii="仿宋_GB2312" w:hAnsi="楷体_GB2312" w:eastAsia="仿宋_GB2312" w:cs="楷体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居民健康素养监测、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健康知识普及、</w:t>
      </w:r>
      <w:r>
        <w:rPr>
          <w:rFonts w:hint="default" w:ascii="仿宋_GB2312" w:hAnsi="楷体_GB2312" w:eastAsia="仿宋_GB2312" w:cs="楷体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全民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健康教育与促进、科学健身行动，做好健康克旗行动各项指标的监测评估工作。深入开展爱国卫生运动，统筹推进国家卫生城镇创建工作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持续做好母婴安全管理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进一步压实责任，加强母婴安全保障的组织领导，切实将专门领导负责、专题会议分析、专门台账档案要建立、专班救护队伍要储备、专业救治预案要备齐，专家会诊制度要落实、专门转诊通道要畅通“七个专”措施落到实处。严格落实母婴安全五项制度，有效落实《赤峰市孕产妇妊娠风险筛查管理实施方案》中关于危重孕产妇管理的各项制度措施，全力以赴保障母婴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5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（六）持续推进中医药（蒙医药）传承创新发展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巩固完善全国基层中医药工作示范县的创建工作。持续做好“两专科一中心”建设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在进一步巩固特色优势专科建设成果的基础上，力争在202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年末建成国家级重点专科1个（中医脑病科）、市级重点专科4个（心病科、急诊科、重症医学科、神志科）。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(七）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加强传染病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2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传染病防控形势不容乐观，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各级各类医疗机构要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提高警惕，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树立底线红线思维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，特别是医疗机构要发挥好哨点作用，做到早发现、早报告、早诊断、早隔离、早治疗，规范转诊，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疾控中心和医疗机构加强配合，共同做好季节性高发传染病以及结核、艾滋、布病等重点传染病的监测预警和应急处置工作。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39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（八）重点项目建设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39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中医蒙医医院迁址新建项目，一期项目争取10月末封顶。二期项目11月办理开工手续，积极争取2024年第一批国家专项债券。三期设备采购项目，采购设备2023年11月投入使用。旗疾控中心二期建设项目，力争2023年第四季度办理完毕开工手续，2024年开工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39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39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联系人：宁显宇      联系电话：15804765618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2"/>
      <w:numFmt w:val="chineseCounting"/>
      <w:lvlText w:val="（%1）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GJjNDRhODUwMzFjYTBiYjk4Y2M0YmJkOTA1NWUifQ=="/>
  </w:docVars>
  <w:rsids>
    <w:rsidRoot w:val="00000000"/>
    <w:rsid w:val="01080422"/>
    <w:rsid w:val="0774295E"/>
    <w:rsid w:val="0CC223BD"/>
    <w:rsid w:val="18C9062F"/>
    <w:rsid w:val="1901426D"/>
    <w:rsid w:val="1945415A"/>
    <w:rsid w:val="1C24274C"/>
    <w:rsid w:val="22A2261D"/>
    <w:rsid w:val="2CDE24A4"/>
    <w:rsid w:val="3A5B41B1"/>
    <w:rsid w:val="3CD64F45"/>
    <w:rsid w:val="3D0726B0"/>
    <w:rsid w:val="3D1B32A0"/>
    <w:rsid w:val="409018AF"/>
    <w:rsid w:val="425964C4"/>
    <w:rsid w:val="42786A9F"/>
    <w:rsid w:val="48282727"/>
    <w:rsid w:val="510629F2"/>
    <w:rsid w:val="54297BF9"/>
    <w:rsid w:val="58711142"/>
    <w:rsid w:val="59253085"/>
    <w:rsid w:val="669E4476"/>
    <w:rsid w:val="7ADE0E8D"/>
    <w:rsid w:val="7DD65E4C"/>
    <w:rsid w:val="7DF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Autospacing="0" w:afterAutospacing="0" w:line="360" w:lineRule="auto"/>
      <w:outlineLvl w:val="0"/>
    </w:pPr>
    <w:rPr>
      <w:rFonts w:ascii="Times New Roman" w:hAnsi="Times New Roman" w:eastAsia="黑体"/>
      <w:b/>
      <w:kern w:val="44"/>
      <w:sz w:val="32"/>
      <w:szCs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autoRedefine/>
    <w:qFormat/>
    <w:uiPriority w:val="1"/>
    <w:pPr>
      <w:widowControl w:val="0"/>
      <w:jc w:val="both"/>
    </w:pPr>
    <w:rPr>
      <w:rFonts w:ascii="Calibri" w:hAnsi="Calibri" w:eastAsia="宋体" w:cs="Arial"/>
      <w:kern w:val="2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autoRedefine/>
    <w:qFormat/>
    <w:uiPriority w:val="99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Arial" w:hAnsi="Arial" w:cs="Times New Roman"/>
      <w:b/>
      <w:sz w:val="32"/>
      <w:szCs w:val="24"/>
    </w:rPr>
  </w:style>
  <w:style w:type="paragraph" w:styleId="9">
    <w:name w:val="Body Text First Indent 2"/>
    <w:basedOn w:val="5"/>
    <w:next w:val="1"/>
    <w:autoRedefine/>
    <w:qFormat/>
    <w:uiPriority w:val="99"/>
    <w:pPr>
      <w:ind w:firstLine="420"/>
    </w:p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Normal_485c5743-2d8a-4b63-a8ae-e2bcb3f7fd08"/>
    <w:autoRedefine/>
    <w:qFormat/>
    <w:uiPriority w:val="0"/>
    <w:pPr>
      <w:jc w:val="both"/>
    </w:pPr>
    <w:rPr>
      <w:rFonts w:ascii="仿宋_GB2312" w:hAnsi="宋体" w:eastAsia="宋体" w:cs="宋体"/>
      <w:kern w:val="2"/>
      <w:sz w:val="21"/>
      <w:szCs w:val="21"/>
      <w:lang w:val="en-US" w:eastAsia="zh-CN" w:bidi="ar-SA"/>
    </w:rPr>
  </w:style>
  <w:style w:type="character" w:customStyle="1" w:styleId="14">
    <w:name w:val="bjh-p"/>
    <w:basedOn w:val="11"/>
    <w:autoRedefine/>
    <w:qFormat/>
    <w:uiPriority w:val="0"/>
  </w:style>
  <w:style w:type="paragraph" w:customStyle="1" w:styleId="15">
    <w:name w:val="UserStyle_0"/>
    <w:basedOn w:val="1"/>
    <w:autoRedefine/>
    <w:qFormat/>
    <w:uiPriority w:val="0"/>
    <w:pPr>
      <w:jc w:val="left"/>
      <w:textAlignment w:val="baseline"/>
    </w:pPr>
    <w:rPr>
      <w:rFonts w:ascii="仿宋_GB2312" w:hAnsi="Calibri" w:eastAsia="宋体" w:cs="宋体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5313</Words>
  <Characters>5507</Characters>
  <Paragraphs>69</Paragraphs>
  <TotalTime>69</TotalTime>
  <ScaleCrop>false</ScaleCrop>
  <LinksUpToDate>false</LinksUpToDate>
  <CharactersWithSpaces>5519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2022-06-30T06:47:00Z</dcterms:created>
  <dc:creator>雪还在下吗</dc:creator>
  <cp:lastModifiedBy>哈哈哈</cp:lastModifiedBy>
  <cp:lastPrinted>2023-10-25T00:56:00Z</cp:lastPrinted>
  <dcterms:modified xsi:type="dcterms:W3CDTF">2024-02-26T02:26:54Z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697E6E0A87924EF3852D94C2364A56BA_13</vt:lpwstr>
  </property>
</Properties>
</file>