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AAEFE">
      <w:pPr>
        <w:widowControl/>
        <w:shd w:val="clear" w:color="auto" w:fill="FFFFFF"/>
        <w:adjustRightInd w:val="0"/>
        <w:snapToGrid w:val="0"/>
        <w:ind w:firstLine="0" w:firstLineChars="0"/>
        <w:jc w:val="center"/>
        <w:rPr>
          <w:rFonts w:ascii="方正小标宋简体" w:hAnsi="方正小标宋简体" w:eastAsia="方正小标宋简体" w:cs="方正小标宋简体"/>
          <w:kern w:val="0"/>
          <w:sz w:val="48"/>
          <w:szCs w:val="48"/>
          <w:shd w:val="clear" w:color="auto" w:fill="FFFFFF"/>
        </w:rPr>
      </w:pPr>
      <w:r>
        <w:rPr>
          <w:rFonts w:hint="eastAsia" w:ascii="方正小标宋简体" w:hAnsi="方正小标宋简体" w:eastAsia="方正小标宋简体" w:cs="方正小标宋简体"/>
          <w:kern w:val="0"/>
          <w:sz w:val="48"/>
          <w:szCs w:val="48"/>
          <w:shd w:val="clear" w:color="auto" w:fill="FFFFFF"/>
        </w:rPr>
        <w:t>克什克腾旗防汛抗旱应急预案</w:t>
      </w:r>
    </w:p>
    <w:p w14:paraId="76BF8614">
      <w:pPr>
        <w:widowControl/>
        <w:shd w:val="clear" w:color="auto" w:fill="FFFFFF"/>
        <w:adjustRightInd w:val="0"/>
        <w:snapToGrid w:val="0"/>
        <w:ind w:firstLine="643"/>
        <w:rPr>
          <w:rFonts w:ascii="宋体" w:hAnsi="宋体"/>
          <w:b/>
          <w:kern w:val="0"/>
          <w:sz w:val="32"/>
          <w:szCs w:val="32"/>
          <w:shd w:val="clear" w:color="auto" w:fill="FFFFFF"/>
        </w:rPr>
      </w:pPr>
      <w:bookmarkStart w:id="0" w:name="_Toc8577"/>
      <w:bookmarkStart w:id="1" w:name="_Toc107596637"/>
      <w:bookmarkStart w:id="2" w:name="_Toc292"/>
      <w:bookmarkStart w:id="3" w:name="_Toc25561"/>
      <w:bookmarkStart w:id="4" w:name="_Toc15192"/>
    </w:p>
    <w:p w14:paraId="59F4B863">
      <w:pPr>
        <w:pStyle w:val="2"/>
        <w:bidi w:val="0"/>
        <w:rPr>
          <w:rFonts w:hint="eastAsia" w:ascii="仿宋_GB2312" w:hAnsi="仿宋_GB2312" w:eastAsia="仿宋_GB2312" w:cs="仿宋_GB2312"/>
          <w:b/>
          <w:bCs/>
        </w:rPr>
      </w:pPr>
      <w:bookmarkStart w:id="5" w:name="_Toc16275"/>
      <w:r>
        <w:rPr>
          <w:rFonts w:hint="eastAsia" w:ascii="仿宋_GB2312" w:hAnsi="仿宋_GB2312" w:eastAsia="仿宋_GB2312" w:cs="仿宋_GB2312"/>
          <w:b/>
          <w:bCs/>
        </w:rPr>
        <w:t>1 总则</w:t>
      </w:r>
      <w:bookmarkEnd w:id="0"/>
      <w:bookmarkEnd w:id="1"/>
      <w:bookmarkEnd w:id="2"/>
      <w:bookmarkEnd w:id="3"/>
      <w:bookmarkEnd w:id="4"/>
      <w:bookmarkEnd w:id="5"/>
    </w:p>
    <w:p w14:paraId="60CA4FBE">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 w:name="_Toc107596638"/>
      <w:bookmarkStart w:id="7" w:name="_Toc20276"/>
      <w:bookmarkStart w:id="8" w:name="_Toc21629"/>
      <w:bookmarkStart w:id="9" w:name="_Toc24668"/>
      <w:bookmarkStart w:id="10" w:name="_Toc31622"/>
      <w:bookmarkStart w:id="11" w:name="_Toc16725"/>
      <w:r>
        <w:rPr>
          <w:rFonts w:hint="eastAsia" w:ascii="仿宋_GB2312" w:hAnsi="仿宋_GB2312" w:eastAsia="仿宋_GB2312" w:cs="仿宋_GB2312"/>
        </w:rPr>
        <w:t>1.1 编制目的</w:t>
      </w:r>
      <w:bookmarkEnd w:id="6"/>
      <w:bookmarkEnd w:id="7"/>
      <w:bookmarkEnd w:id="8"/>
      <w:bookmarkEnd w:id="9"/>
      <w:bookmarkEnd w:id="10"/>
      <w:bookmarkEnd w:id="11"/>
    </w:p>
    <w:p w14:paraId="2982173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以习近平新时代中国特色社会主义思想为指导，进一步完善克什克腾旗防汛抗旱应急管理体制机制，立足防大汛、抗大洪、抢大险、救大灾，坚持底线思维，坚持关口前移，全面落实转移避险关键举措，依法、科学、高效、有序做好水旱灾害防范应对处置工作，努力实现“不死人、少伤人，少损失”的核心目标，结合克什克腾旗实际，制定本预案。</w:t>
      </w:r>
    </w:p>
    <w:p w14:paraId="500BE9F0">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12" w:name="_Toc16665"/>
      <w:bookmarkStart w:id="13" w:name="_Toc28101"/>
      <w:bookmarkStart w:id="14" w:name="_Toc7360"/>
      <w:bookmarkStart w:id="15" w:name="_Toc107596639"/>
      <w:bookmarkStart w:id="16" w:name="_Toc10001"/>
      <w:bookmarkStart w:id="17" w:name="_Toc25997"/>
      <w:r>
        <w:rPr>
          <w:rFonts w:hint="eastAsia" w:ascii="仿宋_GB2312" w:hAnsi="仿宋_GB2312" w:eastAsia="仿宋_GB2312" w:cs="仿宋_GB2312"/>
        </w:rPr>
        <w:t>1.2 编制依据</w:t>
      </w:r>
      <w:bookmarkEnd w:id="12"/>
      <w:bookmarkEnd w:id="13"/>
      <w:bookmarkEnd w:id="14"/>
      <w:bookmarkEnd w:id="15"/>
      <w:bookmarkEnd w:id="16"/>
      <w:bookmarkEnd w:id="17"/>
    </w:p>
    <w:p w14:paraId="119A2680">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中华人民共和国突发事件应对法》《中华人民共和国水法》《中华人民共和国防洪法》《中华人民共和国防汛条例》《中华人民共和国抗旱条例》《中华人民共和国河道管理条例》《国家突发公共事件总体应急预案》等法律法规，《国家防汛抗旱应急预案》《内蒙古自治区突发公共事件总体应急预案》《内蒙古自治区防汛抗旱应急预案》《关于加强地方防汛抗旱应急预案修订的指导意见》（国汛办〔2022〕1号）《赤峰市防汛抗旱应急预案》《克什克腾旗突发公共事件总体应急预案》等规程规范，流域综合规划及相关流域性、区域性水利工程调度方案等。</w:t>
      </w:r>
    </w:p>
    <w:p w14:paraId="09E50329">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18" w:name="_Toc107596640"/>
      <w:bookmarkStart w:id="19" w:name="_Toc27692"/>
      <w:bookmarkStart w:id="20" w:name="_Toc15710"/>
      <w:bookmarkStart w:id="21" w:name="_Toc30462"/>
      <w:bookmarkStart w:id="22" w:name="_Toc11103"/>
      <w:bookmarkStart w:id="23" w:name="_Toc23320"/>
      <w:r>
        <w:rPr>
          <w:rFonts w:hint="eastAsia" w:ascii="仿宋_GB2312" w:hAnsi="仿宋_GB2312" w:eastAsia="仿宋_GB2312" w:cs="仿宋_GB2312"/>
        </w:rPr>
        <w:t>1.3 适用范围</w:t>
      </w:r>
      <w:bookmarkEnd w:id="18"/>
      <w:bookmarkEnd w:id="19"/>
      <w:bookmarkEnd w:id="20"/>
      <w:bookmarkEnd w:id="21"/>
      <w:bookmarkEnd w:id="22"/>
      <w:bookmarkEnd w:id="23"/>
    </w:p>
    <w:p w14:paraId="7BF0D429">
      <w:pPr>
        <w:shd w:val="clear" w:color="auto" w:fill="FFFFFF"/>
        <w:adjustRightInd w:val="0"/>
        <w:snapToGrid w:val="0"/>
        <w:ind w:firstLine="640"/>
        <w:rPr>
          <w:rFonts w:ascii="仿宋_GB2312" w:hAnsi="宋体" w:eastAsia="仿宋_GB2312"/>
          <w:sz w:val="32"/>
          <w:szCs w:val="32"/>
        </w:rPr>
      </w:pPr>
      <w:bookmarkStart w:id="24" w:name="_Toc107596641"/>
      <w:bookmarkStart w:id="25" w:name="_Toc22552"/>
      <w:r>
        <w:rPr>
          <w:rFonts w:hint="eastAsia" w:ascii="仿宋_GB2312" w:hAnsi="宋体" w:eastAsia="仿宋_GB2312"/>
          <w:sz w:val="32"/>
          <w:szCs w:val="32"/>
        </w:rPr>
        <w:t>本预案适用于克什克腾旗境内发生的水旱灾害预防预警和应急处置。灾害包括河湖库洪水、干旱、雨涝、台风、山洪和水库垮坝、堤防决口、涵闸倒塌、供水危机等及其引发的次生、衍生灾害。</w:t>
      </w:r>
      <w:bookmarkEnd w:id="24"/>
      <w:bookmarkEnd w:id="25"/>
    </w:p>
    <w:p w14:paraId="7F22A0C5">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26" w:name="_Toc22828"/>
      <w:bookmarkStart w:id="27" w:name="_Toc107596642"/>
      <w:bookmarkStart w:id="28" w:name="_Toc25124"/>
      <w:bookmarkStart w:id="29" w:name="_Toc2869"/>
      <w:bookmarkStart w:id="30" w:name="_Toc23361"/>
      <w:bookmarkStart w:id="31" w:name="_Toc13748"/>
      <w:r>
        <w:rPr>
          <w:rFonts w:hint="eastAsia" w:ascii="仿宋_GB2312" w:hAnsi="仿宋_GB2312" w:eastAsia="仿宋_GB2312" w:cs="仿宋_GB2312"/>
        </w:rPr>
        <w:t>1.4 工作原则</w:t>
      </w:r>
      <w:bookmarkEnd w:id="26"/>
      <w:bookmarkEnd w:id="27"/>
      <w:bookmarkEnd w:id="28"/>
      <w:bookmarkEnd w:id="29"/>
      <w:bookmarkEnd w:id="30"/>
      <w:bookmarkEnd w:id="31"/>
    </w:p>
    <w:p w14:paraId="73C7EDBE">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2" w:name="_Toc107596643"/>
      <w:bookmarkStart w:id="33" w:name="_Toc21269"/>
      <w:bookmarkStart w:id="34" w:name="_Toc8612"/>
      <w:bookmarkStart w:id="35" w:name="_Toc29844"/>
      <w:bookmarkStart w:id="36" w:name="_Toc27755"/>
      <w:bookmarkStart w:id="37" w:name="_Toc32626"/>
      <w:r>
        <w:rPr>
          <w:rFonts w:hint="eastAsia" w:ascii="仿宋_GB2312" w:hAnsi="仿宋_GB2312" w:eastAsia="仿宋_GB2312" w:cs="仿宋_GB2312"/>
          <w:b w:val="0"/>
          <w:bCs/>
        </w:rPr>
        <w:t>1.4.1 以人为本，安全第一</w:t>
      </w:r>
      <w:bookmarkEnd w:id="32"/>
      <w:bookmarkEnd w:id="33"/>
      <w:bookmarkEnd w:id="34"/>
      <w:bookmarkEnd w:id="35"/>
      <w:bookmarkEnd w:id="36"/>
      <w:bookmarkEnd w:id="37"/>
    </w:p>
    <w:p w14:paraId="549C06B7">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坚持把保障人民群众生命财产安全放在首位，最大程度地减少水旱灾害造成的危害和损失。</w:t>
      </w:r>
    </w:p>
    <w:p w14:paraId="4904CCB7">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8" w:name="_Toc16351"/>
      <w:bookmarkStart w:id="39" w:name="_Toc107596644"/>
      <w:bookmarkStart w:id="40" w:name="_Toc30390"/>
      <w:bookmarkStart w:id="41" w:name="_Toc556"/>
      <w:bookmarkStart w:id="42" w:name="_Toc17561"/>
      <w:bookmarkStart w:id="43" w:name="_Toc6955"/>
      <w:r>
        <w:rPr>
          <w:rFonts w:hint="eastAsia" w:ascii="仿宋_GB2312" w:hAnsi="仿宋_GB2312" w:eastAsia="仿宋_GB2312" w:cs="仿宋_GB2312"/>
          <w:b w:val="0"/>
          <w:bCs/>
        </w:rPr>
        <w:t>1.4.2 党政同责、一岗双责</w:t>
      </w:r>
      <w:bookmarkEnd w:id="38"/>
      <w:bookmarkEnd w:id="39"/>
      <w:bookmarkEnd w:id="40"/>
      <w:bookmarkEnd w:id="41"/>
      <w:bookmarkEnd w:id="42"/>
      <w:bookmarkEnd w:id="43"/>
    </w:p>
    <w:p w14:paraId="3D5DD82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实行旗委领导下的、旗政府行政首长负责制。建立健全各苏木乡镇（街道）、各有关部门、各企事业单位构成的属地管理、统一指挥、分级负责、分类管理、条块结合的防御体系。</w:t>
      </w:r>
    </w:p>
    <w:p w14:paraId="7513FE0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44" w:name="_Toc27818"/>
      <w:bookmarkStart w:id="45" w:name="_Toc24293"/>
      <w:bookmarkStart w:id="46" w:name="_Toc20861"/>
      <w:bookmarkStart w:id="47" w:name="_Toc21494"/>
      <w:bookmarkStart w:id="48" w:name="_Toc107596645"/>
      <w:bookmarkStart w:id="49" w:name="_Toc31907"/>
      <w:r>
        <w:rPr>
          <w:rFonts w:hint="eastAsia" w:ascii="仿宋_GB2312" w:hAnsi="仿宋_GB2312" w:eastAsia="仿宋_GB2312" w:cs="仿宋_GB2312"/>
          <w:b w:val="0"/>
          <w:bCs/>
        </w:rPr>
        <w:t>1.4.3 以防为主，防抗救结合</w:t>
      </w:r>
      <w:bookmarkEnd w:id="44"/>
      <w:bookmarkEnd w:id="45"/>
      <w:bookmarkEnd w:id="46"/>
      <w:bookmarkEnd w:id="47"/>
      <w:bookmarkEnd w:id="48"/>
      <w:bookmarkEnd w:id="49"/>
    </w:p>
    <w:p w14:paraId="00DABD1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预防与处置相结合，常态与非常态相结合，细化应急处置流程，突出针对性和可操作性，形成功能齐全、反应敏捷、协同有序、运转高效的处置机制。</w:t>
      </w:r>
    </w:p>
    <w:p w14:paraId="5B4F0079">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0" w:name="_Toc26080"/>
      <w:bookmarkStart w:id="51" w:name="_Toc6676"/>
      <w:bookmarkStart w:id="52" w:name="_Toc107596646"/>
      <w:bookmarkStart w:id="53" w:name="_Toc17633"/>
      <w:bookmarkStart w:id="54" w:name="_Toc301"/>
      <w:bookmarkStart w:id="55" w:name="_Toc3420"/>
      <w:r>
        <w:rPr>
          <w:rFonts w:hint="eastAsia" w:ascii="仿宋_GB2312" w:hAnsi="仿宋_GB2312" w:eastAsia="仿宋_GB2312" w:cs="仿宋_GB2312"/>
          <w:b w:val="0"/>
          <w:bCs/>
        </w:rPr>
        <w:t>1.4.4</w:t>
      </w:r>
      <w:bookmarkEnd w:id="50"/>
      <w:bookmarkEnd w:id="51"/>
      <w:bookmarkEnd w:id="52"/>
      <w:bookmarkEnd w:id="53"/>
      <w:bookmarkStart w:id="56" w:name="_Toc6384"/>
      <w:bookmarkStart w:id="57" w:name="_Toc13377"/>
      <w:bookmarkStart w:id="58" w:name="_Toc6322"/>
      <w:bookmarkStart w:id="59" w:name="_Toc107596647"/>
      <w:r>
        <w:rPr>
          <w:rFonts w:hint="eastAsia" w:ascii="仿宋_GB2312" w:hAnsi="仿宋_GB2312" w:eastAsia="仿宋_GB2312" w:cs="仿宋_GB2312"/>
          <w:b w:val="0"/>
          <w:bCs/>
        </w:rPr>
        <w:t xml:space="preserve"> 快速反应，协同应对</w:t>
      </w:r>
      <w:bookmarkEnd w:id="54"/>
      <w:bookmarkEnd w:id="55"/>
      <w:bookmarkEnd w:id="56"/>
      <w:bookmarkEnd w:id="57"/>
      <w:bookmarkEnd w:id="58"/>
      <w:bookmarkEnd w:id="59"/>
    </w:p>
    <w:p w14:paraId="329815A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建立专业部门预警、率先响应，应急管理部门统一指挥、共同应对，避险为要、专班处置的抢险救灾应急联动体制，</w:t>
      </w:r>
      <w:bookmarkStart w:id="60" w:name="ref_[1]_33425916"/>
      <w:r>
        <w:rPr>
          <w:rFonts w:hint="eastAsia" w:ascii="仿宋_GB2312" w:hAnsi="宋体" w:eastAsia="仿宋_GB2312"/>
          <w:sz w:val="32"/>
          <w:szCs w:val="32"/>
        </w:rPr>
        <w:t>做到快速响应、科学处置、有效应对。</w:t>
      </w:r>
    </w:p>
    <w:p w14:paraId="66B04FD1">
      <w:pPr>
        <w:pStyle w:val="2"/>
        <w:bidi w:val="0"/>
        <w:rPr>
          <w:rFonts w:hint="eastAsia" w:ascii="仿宋_GB2312" w:hAnsi="仿宋_GB2312" w:eastAsia="仿宋_GB2312" w:cs="仿宋_GB2312"/>
          <w:b/>
          <w:bCs/>
        </w:rPr>
      </w:pPr>
      <w:bookmarkStart w:id="61" w:name="_Toc11336"/>
      <w:bookmarkStart w:id="62" w:name="_Toc19902"/>
      <w:bookmarkStart w:id="63" w:name="_Toc15728"/>
      <w:bookmarkStart w:id="64" w:name="_Toc24334"/>
      <w:bookmarkStart w:id="65" w:name="_Toc107596648"/>
      <w:bookmarkStart w:id="66" w:name="_Toc18298"/>
      <w:r>
        <w:rPr>
          <w:rFonts w:hint="eastAsia" w:ascii="仿宋_GB2312" w:hAnsi="仿宋_GB2312" w:eastAsia="仿宋_GB2312" w:cs="仿宋_GB2312"/>
          <w:b/>
          <w:bCs/>
        </w:rPr>
        <w:t>2 组织指挥体系及职责</w:t>
      </w:r>
      <w:bookmarkEnd w:id="61"/>
      <w:bookmarkEnd w:id="62"/>
      <w:bookmarkEnd w:id="63"/>
      <w:bookmarkEnd w:id="64"/>
      <w:bookmarkEnd w:id="65"/>
      <w:bookmarkEnd w:id="66"/>
    </w:p>
    <w:p w14:paraId="2FB58B2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旗政府设立旗防汛抗旱指挥部（以下简称旗防指），旗防指在市防指和旗委的领导下，负责组织、指挥、协调、指导、监督全旗水旱灾害防御和应急处置工作。</w:t>
      </w:r>
    </w:p>
    <w:p w14:paraId="7126A49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各苏木乡镇（街道）设立本级防汛抗旱指挥机构，在旗防指和本级党委、政府领导下，统一组织、指挥、协调、指导和督促本级防汛抗旱应急工作。</w:t>
      </w:r>
    </w:p>
    <w:p w14:paraId="3B9DF6C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有关部门和有关单位可根据工作需要设立防汛抗旱指挥机构，负责本部门本单位防汛抗旱应急工作。旗政府应加强对苏木乡镇（街道）、嘎查村（社区）防汛工作的领导，建立旗领导包苏木乡镇（街道）、苏木乡镇（街道）领导包村、村干部包户到人的网格工作责任制。</w:t>
      </w:r>
    </w:p>
    <w:p w14:paraId="712FEBD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旗防指办事机构为旗防汛抗旱指挥部办公室（以下简称旗防办），设在旗应急管理局，负责旗防指日常工作。</w:t>
      </w:r>
    </w:p>
    <w:p w14:paraId="31A282C3">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7" w:name="_Toc7848"/>
      <w:bookmarkStart w:id="68" w:name="_Toc11047"/>
      <w:r>
        <w:rPr>
          <w:rFonts w:hint="eastAsia" w:ascii="仿宋_GB2312" w:hAnsi="仿宋_GB2312" w:eastAsia="仿宋_GB2312" w:cs="仿宋_GB2312"/>
        </w:rPr>
        <w:t>2.1 旗防指组织机构</w:t>
      </w:r>
      <w:bookmarkEnd w:id="67"/>
      <w:bookmarkEnd w:id="68"/>
    </w:p>
    <w:p w14:paraId="0224588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总指挥：旗人民政府旗长</w:t>
      </w:r>
    </w:p>
    <w:p w14:paraId="503E010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常务副总指挥：旗人民政府常务副旗长</w:t>
      </w:r>
    </w:p>
    <w:p w14:paraId="670B6DE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副总指挥：旗政府副旗长</w:t>
      </w:r>
    </w:p>
    <w:p w14:paraId="0AED04D6">
      <w:pPr>
        <w:widowControl/>
        <w:shd w:val="clear" w:color="auto" w:fill="FFFFFF"/>
        <w:adjustRightInd w:val="0"/>
        <w:snapToGrid w:val="0"/>
        <w:ind w:firstLine="2240" w:firstLineChars="700"/>
        <w:rPr>
          <w:rFonts w:hint="default" w:ascii="仿宋_GB2312" w:hAnsi="宋体" w:eastAsia="仿宋_GB2312"/>
          <w:sz w:val="32"/>
          <w:szCs w:val="32"/>
          <w:lang w:val="en-US" w:eastAsia="zh-CN"/>
        </w:rPr>
      </w:pPr>
      <w:r>
        <w:rPr>
          <w:rFonts w:hint="eastAsia" w:ascii="仿宋_GB2312" w:hAnsi="宋体" w:eastAsia="仿宋_GB2312"/>
          <w:sz w:val="32"/>
          <w:szCs w:val="32"/>
        </w:rPr>
        <w:t>旗</w:t>
      </w:r>
      <w:r>
        <w:rPr>
          <w:rFonts w:hint="eastAsia" w:ascii="仿宋_GB2312" w:hAnsi="宋体" w:eastAsia="仿宋_GB2312"/>
          <w:sz w:val="32"/>
          <w:szCs w:val="32"/>
          <w:lang w:val="en-US" w:eastAsia="zh-CN"/>
        </w:rPr>
        <w:t>人武部部长</w:t>
      </w:r>
    </w:p>
    <w:p w14:paraId="4031CEF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 xml:space="preserve">          旗应急管理局局长</w:t>
      </w:r>
    </w:p>
    <w:p w14:paraId="6B04319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 xml:space="preserve">          旗水利局局长</w:t>
      </w:r>
    </w:p>
    <w:p w14:paraId="78C84254">
      <w:pPr>
        <w:pStyle w:val="26"/>
        <w:snapToGrid w:val="0"/>
        <w:spacing w:line="560" w:lineRule="exact"/>
        <w:ind w:firstLine="2240" w:firstLineChars="700"/>
        <w:jc w:val="both"/>
        <w:rPr>
          <w:rFonts w:hAnsi="宋体" w:cs="宋体"/>
          <w:color w:val="auto"/>
          <w:kern w:val="2"/>
          <w:sz w:val="32"/>
          <w:szCs w:val="32"/>
        </w:rPr>
      </w:pPr>
      <w:r>
        <w:rPr>
          <w:rFonts w:hint="eastAsia" w:hAnsi="宋体" w:cs="宋体"/>
          <w:color w:val="auto"/>
          <w:kern w:val="2"/>
          <w:sz w:val="32"/>
          <w:szCs w:val="32"/>
        </w:rPr>
        <w:t>旗气象局局长</w:t>
      </w:r>
    </w:p>
    <w:p w14:paraId="220C520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 xml:space="preserve">          旗武警中队中队长</w:t>
      </w:r>
    </w:p>
    <w:p w14:paraId="2FF5BF2F">
      <w:pPr>
        <w:pStyle w:val="26"/>
        <w:snapToGrid w:val="0"/>
        <w:spacing w:line="560" w:lineRule="exact"/>
        <w:ind w:firstLine="2240" w:firstLineChars="700"/>
        <w:jc w:val="both"/>
        <w:rPr>
          <w:rFonts w:hAnsi="宋体" w:cs="宋体"/>
          <w:color w:val="auto"/>
          <w:kern w:val="2"/>
          <w:sz w:val="32"/>
          <w:szCs w:val="32"/>
        </w:rPr>
      </w:pPr>
      <w:r>
        <w:rPr>
          <w:rFonts w:hint="eastAsia" w:hAnsi="宋体" w:cs="宋体"/>
          <w:color w:val="auto"/>
          <w:kern w:val="2"/>
          <w:sz w:val="32"/>
          <w:szCs w:val="32"/>
        </w:rPr>
        <w:t>旗消防救援大队大队长</w:t>
      </w:r>
    </w:p>
    <w:p w14:paraId="3295C7D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 xml:space="preserve">          旗森防中队中队长</w:t>
      </w:r>
    </w:p>
    <w:p w14:paraId="3358473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秘 书 长：旗应急管理局分管副局长</w:t>
      </w:r>
    </w:p>
    <w:p w14:paraId="4248371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副秘书长：旗水利局分管副局长</w:t>
      </w:r>
    </w:p>
    <w:p w14:paraId="4C43F9A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 xml:space="preserve">          旗气象局副局长</w:t>
      </w:r>
    </w:p>
    <w:p w14:paraId="28F1462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旗委宣传部、旗发改局、旗应急管理局、旗水利局、旗教育局、旗气象局、旗工信和科技局、旗公安局、旗财政局、旗自然资源局、旗住房和城乡建设局、旗城市管理和综合执法局、旗交通运输局、旗农牧局、旗民政局、旗文化旅游体育局、旗卫生健康委员会、旗融媒体中心、旗林业和草原局、旗人武部、武警中队、消防大队、森林消防中队、国网内蒙古东部电力有限公司克旗供电公司、中国石油赤峰分公司克旗经营部、中国移动克旗分公司、中国联通克旗分公司、中国电信克旗分公司。</w:t>
      </w:r>
    </w:p>
    <w:p w14:paraId="256247D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旗防指成员单位组成根据机构设置情况适时调整。</w:t>
      </w:r>
    </w:p>
    <w:p w14:paraId="0F425D99">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9" w:name="_Toc30798"/>
      <w:bookmarkStart w:id="70" w:name="_Toc28373"/>
      <w:bookmarkStart w:id="71" w:name="_Toc19320"/>
      <w:bookmarkStart w:id="72" w:name="_Toc21202"/>
      <w:bookmarkStart w:id="73" w:name="_Toc8923"/>
      <w:bookmarkStart w:id="74" w:name="_Toc107596650"/>
      <w:r>
        <w:rPr>
          <w:rFonts w:hint="eastAsia" w:ascii="仿宋_GB2312" w:hAnsi="仿宋_GB2312" w:eastAsia="仿宋_GB2312" w:cs="仿宋_GB2312"/>
        </w:rPr>
        <w:t>2.2 旗防指主要职责</w:t>
      </w:r>
      <w:bookmarkEnd w:id="69"/>
      <w:bookmarkEnd w:id="70"/>
    </w:p>
    <w:p w14:paraId="788DCCD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根据《克什克腾旗防汛抗旱指挥部工作规则》（附件1），旗防指主要职责为：</w:t>
      </w:r>
    </w:p>
    <w:p w14:paraId="65ED613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（一）贯彻执行国家、自治区、赤峰市和旗有关防汛抗旱工作的方针、政策、法规和规章，执行国家、自治区、赤峰市和旗委、旗政府的决定；</w:t>
      </w:r>
    </w:p>
    <w:p w14:paraId="27EC33C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（二）拟订克什克腾旗防汛抗旱地方性规章制度；</w:t>
      </w:r>
    </w:p>
    <w:p w14:paraId="7E1542B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（三）组织制定《克什克腾旗防汛抗旱应急预案》并组织实施；</w:t>
      </w:r>
    </w:p>
    <w:p w14:paraId="259C426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（四）组织制定辖区内主要河流防御洪水方案、抗旱预案和应急水量调度方案并组织实施；</w:t>
      </w:r>
    </w:p>
    <w:p w14:paraId="1D42D32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（五）组织指导辖区内重要河流湖泊防御洪水方案编制及实施，审批重要河流、湖泊和重要水工程防御洪水、防御旱灾调度方案和应急水量调度方案；</w:t>
      </w:r>
    </w:p>
    <w:p w14:paraId="1817F9D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（六）组织相关部门开展防汛抗旱队伍建设和物资储备，负责旗级防汛抗旱队伍建设和物资调配；</w:t>
      </w:r>
    </w:p>
    <w:p w14:paraId="15DCAFB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（七）组织协调辖区内水旱灾害防御和应急救援工作；组织指导防汛抗旱宣传、培训、演练工作；</w:t>
      </w:r>
    </w:p>
    <w:p w14:paraId="4ED6EC5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八）组织实施抗洪抢险及抗旱减灾措施；下达重要防汛抗旱指令、命令；发布抗洪救灾动员令，动员全社会参与防汛抗旱抢险救灾工作；安排部署抗洪救灾工作；宣布进入或结束紧急防汛期；启动、终止全旗防汛抗旱应急响应；</w:t>
      </w:r>
    </w:p>
    <w:p w14:paraId="5C25501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（九）收集和发布全旗汛情、旱情、灾情信息，组织指导重大水旱灾害调查评估工作；</w:t>
      </w:r>
    </w:p>
    <w:p w14:paraId="71A2E02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（十）负责与上级、平级防汛抗旱指挥机构的协同合作，指导下级机构工作；</w:t>
      </w:r>
    </w:p>
    <w:p w14:paraId="0DA1586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（十一）组织开展灾后处置，并做好有关协调工作。</w:t>
      </w:r>
    </w:p>
    <w:p w14:paraId="78A87AF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秘书长、副秘书长在总指挥的领导下负责处理旗防指日常工作，负责协调旗防指各成员单位之间的工作。</w:t>
      </w:r>
    </w:p>
    <w:p w14:paraId="3847F40A">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75" w:name="_Toc5249"/>
      <w:bookmarkStart w:id="76" w:name="_Toc2628"/>
      <w:r>
        <w:rPr>
          <w:rFonts w:hint="eastAsia" w:ascii="仿宋_GB2312" w:hAnsi="仿宋_GB2312" w:eastAsia="仿宋_GB2312" w:cs="仿宋_GB2312"/>
        </w:rPr>
        <w:t>2.3 旗防办主要职责</w:t>
      </w:r>
      <w:bookmarkEnd w:id="75"/>
      <w:bookmarkEnd w:id="76"/>
    </w:p>
    <w:p w14:paraId="5AABC39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（一）承担旗防指日常工作，协调、指导全旗防汛抗旱工作；</w:t>
      </w:r>
    </w:p>
    <w:p w14:paraId="098F3F0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（二）督促指导各苏木乡镇（街道）、各相关部门和单位落实旗防指工作部署和防汛抗旱责任制；</w:t>
      </w:r>
    </w:p>
    <w:p w14:paraId="6F9D138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（三）组织开展全旗防汛抗旱督导检查；</w:t>
      </w:r>
    </w:p>
    <w:p w14:paraId="4792472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（四）拟订《克什克腾旗防汛抗旱应急预案》，按程序报批并组织演练和实施；</w:t>
      </w:r>
    </w:p>
    <w:p w14:paraId="143BB05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（五）会同有关部门做好防汛抗旱物资储备、调用等工作；</w:t>
      </w:r>
    </w:p>
    <w:p w14:paraId="3A9A435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（六）收集掌握汛情、旱情、险情、灾情，组织会商协调，提出应对方案与工作建议；</w:t>
      </w:r>
    </w:p>
    <w:p w14:paraId="60228CC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（七）负责召集旗防指全体会议、紧急会议、专题会议、会商会议及其他会议，并承担会务工作；</w:t>
      </w:r>
    </w:p>
    <w:p w14:paraId="0CE7E17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（八）以旗防指和旗防办名义制发相关文件，整理存储相关档案；</w:t>
      </w:r>
    </w:p>
    <w:p w14:paraId="6841453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（九）统筹全旗防汛抗旱宣传和水旱灾情统计、上报、发布工作；</w:t>
      </w:r>
    </w:p>
    <w:p w14:paraId="6B86BB3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（十）组织开展灾害调查评估和救助工作；</w:t>
      </w:r>
    </w:p>
    <w:p w14:paraId="31202EC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（十一）完成上级防指和旗委、旗政府交办的其他工作。</w:t>
      </w:r>
    </w:p>
    <w:p w14:paraId="2DE332CB">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77" w:name="_Toc7620"/>
      <w:bookmarkStart w:id="78" w:name="_Toc12385"/>
      <w:r>
        <w:rPr>
          <w:rFonts w:hint="eastAsia" w:ascii="仿宋_GB2312" w:hAnsi="仿宋_GB2312" w:eastAsia="仿宋_GB2312" w:cs="仿宋_GB2312"/>
        </w:rPr>
        <w:t>2.4 各成员单位职责</w:t>
      </w:r>
      <w:bookmarkEnd w:id="77"/>
      <w:bookmarkEnd w:id="78"/>
    </w:p>
    <w:p w14:paraId="67FA162A">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旗委宣传部：负责组织新闻媒体做好防汛抗旱新闻宣传工作，开展防汛抗旱知识普及和公益宣传，指导协调有关部门做好防汛抗旱突发事件的信息发布、舆论引导。</w:t>
      </w:r>
    </w:p>
    <w:p w14:paraId="78CC1A4A">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发展和改革委员会：负责将防汛抗旱工作纳入国民经济和社会发展规划，做好防汛抗旱基础设施建设和灾后重建项目申报监督管理；依法干预和制止因洪涝干旱灾害引发的价格异常波动；指导相关企业开展安全度汛工作。</w:t>
      </w:r>
    </w:p>
    <w:p w14:paraId="2EEDA895">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旗应急管理局：承担旗防指日常工作和防办职责，组织协调全旗水旱灾害应急救援和救灾工作，建立应急协调联动机制；统一指挥全旗应急救援队伍，统筹应急救援</w:t>
      </w:r>
      <w:r>
        <w:rPr>
          <w:rFonts w:hint="eastAsia" w:ascii="仿宋_GB2312" w:hAnsi="宋体" w:eastAsia="仿宋_GB2312"/>
          <w:kern w:val="2"/>
          <w:sz w:val="32"/>
          <w:szCs w:val="32"/>
          <w:lang w:eastAsia="zh-CN"/>
        </w:rPr>
        <w:t>力量</w:t>
      </w:r>
      <w:r>
        <w:rPr>
          <w:rFonts w:hint="eastAsia" w:ascii="仿宋_GB2312" w:hAnsi="宋体" w:eastAsia="仿宋_GB2312"/>
          <w:kern w:val="2"/>
          <w:sz w:val="32"/>
          <w:szCs w:val="32"/>
        </w:rPr>
        <w:t>的建设和管理；组织协调灾害救助，管理、调度、调拨、分配救灾储备物资，并监督使用；依法统一发布水旱灾情信息；组织开展并指导有关部门做好水旱灾害防治及风险评估工作；加强对矿山、尾矿库、危险化学品企业安全度汛工作的监督检查。</w:t>
      </w:r>
    </w:p>
    <w:p w14:paraId="71C2E883">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水利局：组织编制全旗防汛抗旱规划和重要河流和重要水利工程的防御洪水方案、洪水调度方案，按程序报批并指导实施；制定中小水库、防洪河道、蓄滞洪区、重点水闸汛期调度运用计划和保证任务；负责水情汛情旱情监测预测预警预报及发布，承担洪水防御和洪涝干旱灾害应急抢险的技术支撑工作；做好农田水利基础设施和农村饮水工程的管理和维护，确保其正常运行；指导水库、河道和山洪沟等防汛抗旱工程的建设、运行和管理工作；指导协助苏木乡镇（街道）完成损毁水利工程修复、山洪灾害防御、预案编制与应急演练；负责加强河道巡查，提供行洪障碍物处置的技术方案，协助旗应急管理局开展险情处置，并承担</w:t>
      </w:r>
      <w:r>
        <w:rPr>
          <w:rFonts w:hint="eastAsia" w:ascii="仿宋_GB2312" w:hAnsi="宋体" w:eastAsia="仿宋_GB2312"/>
          <w:kern w:val="2"/>
          <w:sz w:val="32"/>
          <w:szCs w:val="32"/>
          <w:lang w:eastAsia="zh-CN"/>
        </w:rPr>
        <w:t>其他</w:t>
      </w:r>
      <w:r>
        <w:rPr>
          <w:rFonts w:hint="eastAsia" w:ascii="仿宋_GB2312" w:hAnsi="宋体" w:eastAsia="仿宋_GB2312"/>
          <w:kern w:val="2"/>
          <w:sz w:val="32"/>
          <w:szCs w:val="32"/>
        </w:rPr>
        <w:t>防汛抗旱涉水专业技术工作。</w:t>
      </w:r>
    </w:p>
    <w:p w14:paraId="5D8E0E3A">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教育局：负责全旗中小学校、幼儿园开展防汛抗旱安全教育和管理工作，指导开展校舍隐患排查、师生转移避险、预案制定和演练工作，协助相关部门提供受灾人员转移安置场所，组织监督本系统落实防汛抗旱责任和措施。</w:t>
      </w:r>
    </w:p>
    <w:p w14:paraId="4AD6DFFD">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工信和科技局：指导督促工业企业制定防汛抗旱预案；组织协调电信运营企业、铁塔公司开展通信基础设施建设和维护，并开展防汛抗旱宣传教育活动；负责调度应急通信设施，保障抢险救援现场公网通信；组织监督本系统落实防汛抗旱责任和措施。</w:t>
      </w:r>
    </w:p>
    <w:p w14:paraId="7B563476">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公安局：负责维护防汛抗旱、抢险救援交通秩序、治安管理和安全保卫工作；维护灾区社会治安秩序，依法打击造谣惑众和盗窃、哄抢防汛抗旱物资以及破坏防汛抗旱设施的违法犯罪活动；指导有关地区和部门妥善处置因防汛抗旱引发的群体性事件；协助组织群众从危险地区安全撤离或转移；必要时会同交通部门实施交通管制。</w:t>
      </w:r>
    </w:p>
    <w:p w14:paraId="3C112C2E">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旗财政局：负责防汛抗旱经费保障工作；负责争取、筹措、管理防汛抗旱抢险救援资金；负责相关资金拨付和监管工作。</w:t>
      </w:r>
    </w:p>
    <w:p w14:paraId="6A8345D1">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旗自然资源局：负责地质灾害监测预报预警、工程治理指导、救援技术支撑，组织开展对山体滑坡、崩塌、泥石流等地质灾害的调查、勘查、监测和应急处置工作。</w:t>
      </w:r>
    </w:p>
    <w:p w14:paraId="3952B861">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住房和城乡建设局、旗城市管理综合执法局：负责制定中心城区防洪规划；指导城镇防汛排涝抢险、市政设施保护、供水设施安全运行和应急供水工作。指导建筑企业安全度汛和在建涉河工程防洪影响评价监督工作；指导灾区开展因灾损毁房屋的安全鉴定、修复；组织监督本系统落实防汛抗旱责任和措施。</w:t>
      </w:r>
    </w:p>
    <w:p w14:paraId="1C327DCE">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交通运输局：负责公路、水运交通设施的防洪安全工作；做好所辖交通运输基础设施隐患排查和抢修工作；做好公路（桥梁）在建工程防洪影响评价和安全度汛工作；保障防汛指挥车辆、抢险救灾物资运输车辆通行；组织运力做好防汛抗旱和防疫人员、物资及设备的运输工作；配合公安交警做好因强降雨引发的交通安全突发事件应急处置；组织监督本系统落实防汛抗旱责任和措施。</w:t>
      </w:r>
    </w:p>
    <w:p w14:paraId="4DB4BEFD">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农牧局：监测农牧业灾情，收集、整理和反映农牧业旱涝灾情信息；指导农牧业防汛抗旱救灾和灾后生产恢复工作；合理安排农牧业救灾资金；督促指导农牧业加工企业和渔业安全度汛工作；指导灾区调整农牧业结构、推广应用农业节水技术工作。</w:t>
      </w:r>
    </w:p>
    <w:p w14:paraId="766B3B48">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民政局：负责指导苏木乡镇（街道）及时做好灾后临时救助工作，开展对流浪乞讨人员、走失人员的应急避险救助；指导养老院、福利院等社会福利机构安全度汛；对重点民政服务对象走访排查，对因灾造成生活困难的，及时给予救助帮扶，确保困难群众安全度汛。</w:t>
      </w:r>
    </w:p>
    <w:p w14:paraId="69A2F869">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旗文化旅游体育局：组织开展旅游</w:t>
      </w:r>
      <w:r>
        <w:rPr>
          <w:rFonts w:hint="eastAsia" w:ascii="仿宋_GB2312" w:hAnsi="宋体" w:eastAsia="仿宋_GB2312"/>
          <w:kern w:val="2"/>
          <w:sz w:val="32"/>
          <w:szCs w:val="32"/>
          <w:lang w:val="en-US" w:eastAsia="zh-CN"/>
        </w:rPr>
        <w:t>行业</w:t>
      </w:r>
      <w:r>
        <w:rPr>
          <w:rFonts w:hint="eastAsia" w:ascii="仿宋_GB2312" w:hAnsi="宋体" w:eastAsia="仿宋_GB2312"/>
          <w:kern w:val="2"/>
          <w:sz w:val="32"/>
          <w:szCs w:val="32"/>
        </w:rPr>
        <w:t>防汛抗旱宣传工作；督导旅行社、旅游景区景点落实安全防范、转移避险、应急处置工作；协助提供受灾人员转移安置场所；协调做好汛期旅游景区人员疏导、安置和安全保卫等工作。组织监督本系统落实防汛抗旱责任和措施。</w:t>
      </w:r>
    </w:p>
    <w:p w14:paraId="618D4597">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w:t>
      </w:r>
      <w:r>
        <w:rPr>
          <w:rFonts w:hint="eastAsia" w:ascii="仿宋_GB2312" w:hAnsi="宋体" w:eastAsia="仿宋_GB2312"/>
          <w:kern w:val="2"/>
          <w:sz w:val="32"/>
          <w:szCs w:val="32"/>
          <w:lang w:eastAsia="zh-CN"/>
        </w:rPr>
        <w:t>卫生健康委员会</w:t>
      </w:r>
      <w:r>
        <w:rPr>
          <w:rFonts w:hint="eastAsia" w:ascii="仿宋_GB2312" w:hAnsi="宋体" w:eastAsia="仿宋_GB2312"/>
          <w:kern w:val="2"/>
          <w:sz w:val="32"/>
          <w:szCs w:val="32"/>
        </w:rPr>
        <w:t xml:space="preserve">：组织调派医疗卫生救援力量支援灾区；组织指导地方及时做好灾区医疗救助、疾病预防控制、卫生监督和防疫工作；开展伤员医疗救治、紧急转送等工作。 </w:t>
      </w:r>
    </w:p>
    <w:p w14:paraId="53C21D6C">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lang w:val="en-US" w:eastAsia="zh-CN"/>
        </w:rPr>
        <w:t>旗</w:t>
      </w:r>
      <w:r>
        <w:rPr>
          <w:rFonts w:hint="eastAsia" w:ascii="仿宋_GB2312" w:hAnsi="宋体" w:eastAsia="仿宋_GB2312"/>
          <w:kern w:val="2"/>
          <w:sz w:val="32"/>
          <w:szCs w:val="32"/>
        </w:rPr>
        <w:t>融媒体中心：播发防汛抗旱公益广告，加大防汛抗旱宣传报道力度，通过广播、电视等多媒体开展防汛抗旱知识宣传；及时准确报道经旗防指审定的汛情、灾情和各地防汛动态。</w:t>
      </w:r>
    </w:p>
    <w:p w14:paraId="24B095BD">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旗林业和草原局：指导林区防汛抗旱和抢险救灾工作；收集、整理和上报林业和草原旱涝灾害情况；配合水利局对影响行洪的林地进行清理。</w:t>
      </w:r>
    </w:p>
    <w:p w14:paraId="789B5F70">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气象局：负责天气气候监测和预警预报发布。提供农牧业旱涝信息和旱情监测信息；对影响汛情、旱情、凌情的天气形势作出监测、分析和预测；对重要天气形势和灾害性天气作出滚动预报，向旗防指有关成员单位提供气象信息，适时开展人工影响天气作业。</w:t>
      </w:r>
    </w:p>
    <w:p w14:paraId="56074757">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旗人民武装部：负责组织全旗基干民兵、预备役部队并协调武警部队执行抗洪抢险、营救群众、运送物资、稳定秩序等任务，协助地方政府开展灾后重建工作。</w:t>
      </w:r>
    </w:p>
    <w:p w14:paraId="6B14D82F">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旗消防救援大队、旗森防中队：组建专业应急救援队伍，做好抢险救援工作。</w:t>
      </w:r>
    </w:p>
    <w:p w14:paraId="30B80984">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国网克旗供电公司：负责防汛抗旱、抢险救援电力调度和应急供电保障工作，协助指导水电站执行防汛调度指令；协调安排受损电力设备抢修和灾后电力重建工作。</w:t>
      </w:r>
    </w:p>
    <w:p w14:paraId="6135D94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中国电信克旗分公司、中国移动克分公司、中国联通克分公司、中国广电克旗分公司：负责本系统通信网络公共设施的防汛建设和维护，确保通信工程的防洪安全和汛期通信畅通；根据汛情需要，协调调度应急通信设施，保证抢险通信畅通。</w:t>
      </w:r>
    </w:p>
    <w:p w14:paraId="5424D2B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负有防汛抗旱职责的水文、铁路、石油、民航等行业驻旗单位，</w:t>
      </w:r>
      <w:r>
        <w:rPr>
          <w:rFonts w:hint="eastAsia" w:ascii="仿宋_GB2312" w:hAnsi="宋体" w:eastAsia="仿宋_GB2312"/>
          <w:sz w:val="32"/>
          <w:szCs w:val="32"/>
          <w:lang w:eastAsia="zh-CN"/>
        </w:rPr>
        <w:t>按照</w:t>
      </w:r>
      <w:r>
        <w:rPr>
          <w:rFonts w:hint="eastAsia" w:ascii="仿宋_GB2312" w:hAnsi="宋体" w:eastAsia="仿宋_GB2312"/>
          <w:sz w:val="32"/>
          <w:szCs w:val="32"/>
        </w:rPr>
        <w:t>自治区和赤峰市相关工作规定履行相应职责。</w:t>
      </w:r>
    </w:p>
    <w:p w14:paraId="3945EDA1">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79" w:name="_Toc21712"/>
      <w:bookmarkStart w:id="80" w:name="_Toc22794"/>
      <w:r>
        <w:rPr>
          <w:rFonts w:hint="eastAsia" w:ascii="仿宋_GB2312" w:hAnsi="仿宋_GB2312" w:eastAsia="仿宋_GB2312" w:cs="仿宋_GB2312"/>
        </w:rPr>
        <w:t>2.5 基层防汛抗旱指挥机构</w:t>
      </w:r>
      <w:bookmarkEnd w:id="79"/>
      <w:bookmarkEnd w:id="80"/>
    </w:p>
    <w:p w14:paraId="616FB3D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苏木乡镇（街道）设立的防汛抗旱指挥机构，在旗委、旗政府和旗防指领导下，组织和指挥本苏木乡镇（街道）的防汛抗旱应急工作。水利工程管理单位应根据需要设立防汛抗旱应急指挥机构，在旗防指的领导下开展防汛抗旱抢险应急工作。针对突发事件，可以组建临时指挥机构，负责应急处置突发事件。</w:t>
      </w:r>
    </w:p>
    <w:p w14:paraId="3C3FC95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嘎查村（社区）和企事业单位按照基层防汛抗旱体系网格化建设要求，明确防汛抗旱应急网格员职责和人员，在旗防指和苏木乡镇（街道）防指的领导下，做好本嘎查村（社区）和本单位的防汛应急工作，网格化建设及网格员职责按《克什克腾旗应急管理网格化建设和网格员管理办法》（附件2）执行。</w:t>
      </w:r>
    </w:p>
    <w:p w14:paraId="5C846D2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各苏木乡镇（街道）防指主要职责：</w:t>
      </w:r>
    </w:p>
    <w:p w14:paraId="4E7DEAC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（一）执行旗委、旗政府和旗防指关于防汛抗旱、抢险救灾的决策部署。</w:t>
      </w:r>
    </w:p>
    <w:p w14:paraId="2992CF7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（二）组织制定本级防汛抗旱应急预案、转移避险响应方案和村级转移避险处置方案，并组织开展宣传、教育、演练。</w:t>
      </w:r>
    </w:p>
    <w:p w14:paraId="1A007E9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（三）强化暴雨预警与预警响应、应急响应的衔接，建立直达嘎查村（社区）责任人的临灾预警“叫应”机制。</w:t>
      </w:r>
    </w:p>
    <w:p w14:paraId="308BB2D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（四）做好本级防汛物资预置、防汛装备配备、救援队伍组建等预防工作。</w:t>
      </w:r>
    </w:p>
    <w:p w14:paraId="55CDAAB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（五）开展防汛抗旱风险隐患排查，建立问题清单、责任清单和防范措施清单，做好辖区内河道清淤、行洪障碍物清理、水毁工程修复、险工险段加固，灾害警示牌设置，落实度汛安全措施。</w:t>
      </w:r>
    </w:p>
    <w:p w14:paraId="4228413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（六）遭受暴雨洪水袭击时，主要负责人坐镇指挥，包村领导下沉一线，督促指导开展应对处置、现场管控、转移避险和群众安置等工作。</w:t>
      </w:r>
    </w:p>
    <w:p w14:paraId="12DF851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（七）开展群众防汛科普和转移避险知识宣传，组织嘎查村（社区）、应急抢险队伍主要负责人和网格员的防汛技能和应急救援培训，以点带面，提高全体基层群众的防汛抗旱风险和自救意识。</w:t>
      </w:r>
    </w:p>
    <w:bookmarkEnd w:id="71"/>
    <w:bookmarkEnd w:id="72"/>
    <w:bookmarkEnd w:id="73"/>
    <w:bookmarkEnd w:id="74"/>
    <w:p w14:paraId="653F35A4">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81" w:name="_Toc24540"/>
      <w:bookmarkStart w:id="82" w:name="_Toc7507"/>
      <w:bookmarkStart w:id="83" w:name="_Toc23914"/>
      <w:bookmarkStart w:id="84" w:name="_Toc12855"/>
      <w:bookmarkStart w:id="85" w:name="_Toc107596651"/>
      <w:bookmarkStart w:id="86" w:name="_Toc16677"/>
      <w:r>
        <w:rPr>
          <w:rFonts w:hint="eastAsia" w:ascii="仿宋_GB2312" w:hAnsi="仿宋_GB2312" w:eastAsia="仿宋_GB2312" w:cs="仿宋_GB2312"/>
        </w:rPr>
        <w:t>2.6 工作组</w:t>
      </w:r>
      <w:bookmarkEnd w:id="81"/>
      <w:bookmarkEnd w:id="82"/>
      <w:bookmarkEnd w:id="83"/>
      <w:bookmarkEnd w:id="84"/>
      <w:bookmarkEnd w:id="85"/>
      <w:bookmarkEnd w:id="86"/>
    </w:p>
    <w:p w14:paraId="7C540F8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按照职能分工和协同联动工作需要，成立综合协调组、监测预警组、工程调度组、抢险救援组、医疗救治及卫生防疫组、基础保障组、新闻宣传组、善后处置组、安保维护组等9个专业工作组，工作组职责及其组成单位按《克什克腾旗防指工作组职责及组成单位》（附件3）执行。</w:t>
      </w:r>
    </w:p>
    <w:p w14:paraId="156F586B">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87" w:name="_Toc29922"/>
      <w:bookmarkStart w:id="88" w:name="_Toc22405"/>
      <w:bookmarkStart w:id="89" w:name="_Toc19661"/>
      <w:bookmarkStart w:id="90" w:name="_Toc3290"/>
      <w:bookmarkStart w:id="91" w:name="_Toc14859"/>
      <w:bookmarkStart w:id="92" w:name="_Toc107596652"/>
      <w:r>
        <w:rPr>
          <w:rFonts w:hint="eastAsia" w:ascii="仿宋_GB2312" w:hAnsi="仿宋_GB2312" w:eastAsia="仿宋_GB2312" w:cs="仿宋_GB2312"/>
        </w:rPr>
        <w:t>2.7 专家库、专家组</w:t>
      </w:r>
      <w:bookmarkEnd w:id="87"/>
      <w:bookmarkEnd w:id="88"/>
      <w:bookmarkEnd w:id="89"/>
      <w:bookmarkEnd w:id="90"/>
      <w:bookmarkEnd w:id="91"/>
      <w:bookmarkEnd w:id="92"/>
    </w:p>
    <w:p w14:paraId="7C9859A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旗防指依托旗政府相关专家库资源，抽取具有防汛抗旱抢险技术和管理技能的专家组成专家组，为防汛抗旱指挥决策、应急处置等提供技术支撑。</w:t>
      </w:r>
    </w:p>
    <w:p w14:paraId="4158C6B6">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93" w:name="_Toc30039"/>
      <w:bookmarkStart w:id="94" w:name="_Toc30409"/>
      <w:bookmarkStart w:id="95" w:name="_Toc29202"/>
      <w:bookmarkStart w:id="96" w:name="_Toc3704"/>
      <w:bookmarkStart w:id="97" w:name="_Toc107596653"/>
      <w:bookmarkStart w:id="98" w:name="_Toc27490"/>
      <w:r>
        <w:rPr>
          <w:rFonts w:hint="eastAsia" w:ascii="仿宋_GB2312" w:hAnsi="仿宋_GB2312" w:eastAsia="仿宋_GB2312" w:cs="仿宋_GB2312"/>
        </w:rPr>
        <w:t>2.8 旗防指现场指挥部</w:t>
      </w:r>
      <w:bookmarkEnd w:id="93"/>
      <w:bookmarkEnd w:id="94"/>
      <w:bookmarkEnd w:id="95"/>
      <w:bookmarkEnd w:id="96"/>
      <w:bookmarkEnd w:id="97"/>
      <w:bookmarkEnd w:id="98"/>
    </w:p>
    <w:p w14:paraId="0499EE6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当发生重要险情灾情和重大突发事件，旗防指视情况成立现场指挥部，任命现场指挥长，现场指挥长由旗防指总指挥确定，通常由应急预案确定的旗委、旗政府或主要职能部门负责人担任。现场指挥部履行靠前指挥、现场督查、指导抢险救援救灾等工作职责，实行现场指挥长负责制，通常设立研判组、执行组、保障组、宣传组等职能组，需要增设其他职能组由现场指挥长决定。</w:t>
      </w:r>
    </w:p>
    <w:p w14:paraId="1F2DF813">
      <w:pPr>
        <w:pStyle w:val="2"/>
        <w:bidi w:val="0"/>
        <w:rPr>
          <w:rFonts w:hint="eastAsia" w:ascii="仿宋_GB2312" w:hAnsi="仿宋_GB2312" w:eastAsia="仿宋_GB2312" w:cs="仿宋_GB2312"/>
          <w:b/>
          <w:bCs/>
        </w:rPr>
      </w:pPr>
      <w:bookmarkStart w:id="99" w:name="_Toc11559"/>
      <w:bookmarkStart w:id="100" w:name="_Toc107596654"/>
      <w:bookmarkStart w:id="101" w:name="_Toc2987"/>
      <w:bookmarkStart w:id="102" w:name="_Toc13226"/>
      <w:bookmarkStart w:id="103" w:name="_Toc10927"/>
      <w:bookmarkStart w:id="104" w:name="_Toc8394"/>
      <w:r>
        <w:rPr>
          <w:rFonts w:hint="eastAsia" w:ascii="仿宋_GB2312" w:hAnsi="仿宋_GB2312" w:eastAsia="仿宋_GB2312" w:cs="仿宋_GB2312"/>
          <w:b/>
          <w:bCs/>
        </w:rPr>
        <w:t>3 预防、监测和预警</w:t>
      </w:r>
      <w:bookmarkEnd w:id="99"/>
      <w:bookmarkEnd w:id="100"/>
      <w:bookmarkEnd w:id="101"/>
      <w:bookmarkEnd w:id="102"/>
      <w:bookmarkEnd w:id="103"/>
      <w:bookmarkEnd w:id="104"/>
    </w:p>
    <w:p w14:paraId="08E70243">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105" w:name="_Toc107596655"/>
      <w:bookmarkStart w:id="106" w:name="_Toc27175"/>
      <w:bookmarkStart w:id="107" w:name="_Toc17300"/>
      <w:bookmarkStart w:id="108" w:name="_Toc17777"/>
      <w:bookmarkStart w:id="109" w:name="_Toc14745"/>
      <w:bookmarkStart w:id="110" w:name="_Toc14285"/>
      <w:r>
        <w:rPr>
          <w:rFonts w:hint="eastAsia" w:ascii="仿宋_GB2312" w:hAnsi="仿宋_GB2312" w:eastAsia="仿宋_GB2312" w:cs="仿宋_GB2312"/>
        </w:rPr>
        <w:t>3.1 预防准备</w:t>
      </w:r>
      <w:bookmarkEnd w:id="105"/>
      <w:bookmarkEnd w:id="106"/>
      <w:bookmarkEnd w:id="107"/>
      <w:bookmarkEnd w:id="108"/>
      <w:bookmarkEnd w:id="109"/>
      <w:bookmarkEnd w:id="110"/>
    </w:p>
    <w:p w14:paraId="72475F0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旗各级防指、各部门、各单位应按照工作职责要求做好各项防汛抗旱应急预防工作，组织社会公众积极开展自我防范。</w:t>
      </w:r>
    </w:p>
    <w:p w14:paraId="3B2A6A2E">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11" w:name="_Toc17372"/>
      <w:bookmarkStart w:id="112" w:name="_Toc9492"/>
      <w:bookmarkStart w:id="113" w:name="_Toc24554"/>
      <w:bookmarkStart w:id="114" w:name="_Toc23633"/>
      <w:bookmarkStart w:id="115" w:name="_Toc24881"/>
      <w:bookmarkStart w:id="116" w:name="_Toc107596656"/>
      <w:r>
        <w:rPr>
          <w:rFonts w:hint="eastAsia" w:ascii="仿宋_GB2312" w:hAnsi="仿宋_GB2312" w:eastAsia="仿宋_GB2312" w:cs="仿宋_GB2312"/>
          <w:b w:val="0"/>
          <w:bCs/>
        </w:rPr>
        <w:t>3.1.1 组织准备</w:t>
      </w:r>
      <w:bookmarkEnd w:id="111"/>
      <w:bookmarkEnd w:id="112"/>
      <w:bookmarkEnd w:id="113"/>
      <w:bookmarkEnd w:id="114"/>
      <w:bookmarkEnd w:id="115"/>
      <w:bookmarkEnd w:id="116"/>
    </w:p>
    <w:p w14:paraId="5C4F9B5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旗各级防指按照分级负责的原则，构建全旗水旱灾害防御机制和监测网络，责任落实到嘎查村（社区）应急网格员；落实好各级防汛抗旱抢险队伍和应对措施，加强专业机动抢险队伍和服务组织的建设。</w:t>
      </w:r>
    </w:p>
    <w:p w14:paraId="1E8DDA9B">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17" w:name="_Toc107596657"/>
      <w:bookmarkStart w:id="118" w:name="_Toc17502"/>
      <w:bookmarkStart w:id="119" w:name="_Toc4736"/>
      <w:bookmarkStart w:id="120" w:name="_Toc16100"/>
      <w:bookmarkStart w:id="121" w:name="_Toc18018"/>
      <w:bookmarkStart w:id="122" w:name="_Toc26604"/>
      <w:r>
        <w:rPr>
          <w:rFonts w:hint="eastAsia" w:ascii="仿宋_GB2312" w:hAnsi="仿宋_GB2312" w:eastAsia="仿宋_GB2312" w:cs="仿宋_GB2312"/>
          <w:b w:val="0"/>
          <w:bCs/>
        </w:rPr>
        <w:t>3.1.2 工程准备</w:t>
      </w:r>
      <w:bookmarkEnd w:id="117"/>
      <w:bookmarkEnd w:id="118"/>
      <w:bookmarkEnd w:id="119"/>
      <w:bookmarkEnd w:id="120"/>
      <w:bookmarkEnd w:id="121"/>
      <w:bookmarkEnd w:id="122"/>
    </w:p>
    <w:p w14:paraId="76361F8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对存在病险的河湖堤防、水库大坝、涵闸、泵站、抗旱应急水源等各类防汛抗旱工程实施全面检查和应急除险加固。</w:t>
      </w:r>
    </w:p>
    <w:p w14:paraId="722E6A37">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（1）隐患排查</w:t>
      </w:r>
    </w:p>
    <w:p w14:paraId="61E3460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旗各级防指定期组织开展防汛工作检查，对发现的问题及隐患，责成有关部门和单位限期整改。</w:t>
      </w:r>
    </w:p>
    <w:p w14:paraId="00121B3D">
      <w:pPr>
        <w:widowControl/>
        <w:numPr>
          <w:ilvl w:val="0"/>
          <w:numId w:val="1"/>
        </w:num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巡查防守</w:t>
      </w:r>
    </w:p>
    <w:p w14:paraId="7E8F3B9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水利、住房和城乡建设、城市管理综合执法、交通运输、农牧、教育、文化和旅游、卫生健康、林业和草原、工信和科技、电力等部门按职责加强对相关设施设备的检查和巡查，发现安全隐患和问题及时处理。</w:t>
      </w:r>
    </w:p>
    <w:p w14:paraId="59461E2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（3）风险评估</w:t>
      </w:r>
    </w:p>
    <w:p w14:paraId="4042328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住房和城乡建设、城市管理综合执法、农牧局、各苏木乡镇（街道）按职责组织对地下空间、易涝区域等危险区域人员、危旧房屋、农牧业基础设施、城区河网及排水管网公共基础设施等进行调查和评估，并登记造册，报旗防指备案。</w:t>
      </w:r>
    </w:p>
    <w:p w14:paraId="606C0B4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23" w:name="_Toc107596658"/>
      <w:bookmarkStart w:id="124" w:name="_Toc30258"/>
      <w:bookmarkStart w:id="125" w:name="_Toc914"/>
      <w:bookmarkStart w:id="126" w:name="_Toc32693"/>
      <w:bookmarkStart w:id="127" w:name="_Toc8153"/>
      <w:bookmarkStart w:id="128" w:name="_Toc31373"/>
      <w:r>
        <w:rPr>
          <w:rFonts w:hint="eastAsia" w:ascii="仿宋_GB2312" w:hAnsi="仿宋_GB2312" w:eastAsia="仿宋_GB2312" w:cs="仿宋_GB2312"/>
          <w:b w:val="0"/>
          <w:bCs/>
        </w:rPr>
        <w:t>3.1.3 预案准备</w:t>
      </w:r>
      <w:bookmarkEnd w:id="123"/>
      <w:bookmarkEnd w:id="124"/>
      <w:bookmarkEnd w:id="125"/>
      <w:bookmarkEnd w:id="126"/>
      <w:bookmarkEnd w:id="127"/>
      <w:bookmarkEnd w:id="128"/>
    </w:p>
    <w:p w14:paraId="61122A5A">
      <w:pPr>
        <w:tabs>
          <w:tab w:val="left" w:pos="714"/>
        </w:tabs>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构建旗防汛抗旱应急预案管理体系。修订完善河湖、堤防、水库等防汛工程抢险预案、中心城区防洪涝预案、山洪灾害防御预案、水工程调度方案、苏木乡镇（街道）强降雨期间转移避险响应方案和嘎查村（社区）转移避险处置方案等。对跨汛期施工的涉水在建工程，落实安全度汛方案。</w:t>
      </w:r>
    </w:p>
    <w:p w14:paraId="2F07B59C">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29" w:name="_Toc24685"/>
      <w:bookmarkStart w:id="130" w:name="_Toc21814"/>
      <w:bookmarkStart w:id="131" w:name="_Toc27013"/>
      <w:bookmarkStart w:id="132" w:name="_Toc10549"/>
      <w:bookmarkStart w:id="133" w:name="_Toc10950"/>
      <w:bookmarkStart w:id="134" w:name="_Toc107596659"/>
      <w:r>
        <w:rPr>
          <w:rFonts w:hint="eastAsia" w:ascii="仿宋_GB2312" w:hAnsi="仿宋_GB2312" w:eastAsia="仿宋_GB2312" w:cs="仿宋_GB2312"/>
          <w:b w:val="0"/>
          <w:bCs/>
        </w:rPr>
        <w:t>3.1.4 物资准备</w:t>
      </w:r>
      <w:bookmarkEnd w:id="129"/>
      <w:bookmarkEnd w:id="130"/>
      <w:bookmarkEnd w:id="131"/>
      <w:bookmarkEnd w:id="132"/>
      <w:bookmarkEnd w:id="133"/>
      <w:bookmarkEnd w:id="134"/>
    </w:p>
    <w:p w14:paraId="19531D6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按照国家和旗有关物资储备规定，分区域储备必需的抢险救灾物资和设备，在重点防御部位，现场储备一定数量的抢险及救灾物资和设备。</w:t>
      </w:r>
    </w:p>
    <w:p w14:paraId="3D77AED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35" w:name="_Toc5543"/>
      <w:bookmarkStart w:id="136" w:name="_Toc5447"/>
      <w:bookmarkStart w:id="137" w:name="_Toc7328"/>
      <w:bookmarkStart w:id="138" w:name="_Toc107596660"/>
      <w:bookmarkStart w:id="139" w:name="_Toc3105"/>
      <w:bookmarkStart w:id="140" w:name="_Toc6479"/>
      <w:r>
        <w:rPr>
          <w:rFonts w:hint="eastAsia" w:ascii="仿宋_GB2312" w:hAnsi="仿宋_GB2312" w:eastAsia="仿宋_GB2312" w:cs="仿宋_GB2312"/>
          <w:b w:val="0"/>
          <w:bCs/>
        </w:rPr>
        <w:t>3.1.5 通信准备</w:t>
      </w:r>
      <w:bookmarkEnd w:id="135"/>
      <w:bookmarkEnd w:id="136"/>
      <w:bookmarkEnd w:id="137"/>
      <w:bookmarkEnd w:id="138"/>
      <w:bookmarkEnd w:id="139"/>
      <w:bookmarkEnd w:id="140"/>
    </w:p>
    <w:p w14:paraId="1D0E19A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组织旗内基础</w:t>
      </w:r>
      <w:r>
        <w:rPr>
          <w:rFonts w:hint="eastAsia" w:ascii="仿宋_GB2312" w:hAnsi="宋体" w:eastAsia="仿宋_GB2312"/>
          <w:sz w:val="32"/>
          <w:szCs w:val="32"/>
          <w:lang w:eastAsia="zh-CN"/>
        </w:rPr>
        <w:t>通信</w:t>
      </w:r>
      <w:r>
        <w:rPr>
          <w:rFonts w:hint="eastAsia" w:ascii="仿宋_GB2312" w:hAnsi="宋体" w:eastAsia="仿宋_GB2312"/>
          <w:sz w:val="32"/>
          <w:szCs w:val="32"/>
        </w:rPr>
        <w:t>企业、铁塔公司做好公用通信网络的汛前重点电信设施设备隐患排查，落实好应急救援通信设施设备。</w:t>
      </w:r>
    </w:p>
    <w:p w14:paraId="08E5172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41" w:name="_Toc107596661"/>
      <w:bookmarkStart w:id="142" w:name="_Toc17421"/>
      <w:bookmarkStart w:id="143" w:name="_Toc19179"/>
      <w:bookmarkStart w:id="144" w:name="_Toc18794"/>
      <w:bookmarkStart w:id="145" w:name="_Toc12766"/>
      <w:bookmarkStart w:id="146" w:name="_Toc25380"/>
      <w:r>
        <w:rPr>
          <w:rFonts w:hint="eastAsia" w:ascii="仿宋_GB2312" w:hAnsi="仿宋_GB2312" w:eastAsia="仿宋_GB2312" w:cs="仿宋_GB2312"/>
          <w:b w:val="0"/>
          <w:bCs/>
        </w:rPr>
        <w:t>3.1.6 宣传</w:t>
      </w:r>
      <w:bookmarkEnd w:id="141"/>
      <w:bookmarkEnd w:id="142"/>
      <w:bookmarkEnd w:id="143"/>
      <w:bookmarkEnd w:id="144"/>
      <w:bookmarkEnd w:id="145"/>
      <w:bookmarkEnd w:id="146"/>
    </w:p>
    <w:p w14:paraId="62287D9E">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在全社会广泛开展防灾减灾救灾宣传教育，充分发挥各类媒介作用，深入浅出解读典型案例和血的教训，切实增强群众防范风险的警觉性、提高风险意识和自救互救能力。</w:t>
      </w:r>
    </w:p>
    <w:p w14:paraId="521DDA5E">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（一）涉及全旗的汛情、工情、灾情、防洪抢险工作等方面的公众信息由旗防指审批后，通过媒体向社会发布。</w:t>
      </w:r>
    </w:p>
    <w:p w14:paraId="107235E3">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（二）当主要河湖库发生超警戒水位以上洪水且呈上涨趋势，山区发生暴雨山洪造成较为严重影响，按职责权限由本区域的苏木乡镇（街道）防指统一发布汛情通报，以引起社会公众关注，参与防汛救灾工作。</w:t>
      </w:r>
    </w:p>
    <w:p w14:paraId="1751234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47" w:name="_Toc1038"/>
      <w:bookmarkStart w:id="148" w:name="_Toc16074"/>
      <w:bookmarkStart w:id="149" w:name="_Toc6124"/>
      <w:bookmarkStart w:id="150" w:name="_Toc1840"/>
      <w:bookmarkStart w:id="151" w:name="_Toc107596662"/>
      <w:bookmarkStart w:id="152" w:name="_Toc24972"/>
      <w:r>
        <w:rPr>
          <w:rFonts w:hint="eastAsia" w:ascii="仿宋_GB2312" w:hAnsi="仿宋_GB2312" w:eastAsia="仿宋_GB2312" w:cs="仿宋_GB2312"/>
          <w:b w:val="0"/>
          <w:bCs/>
        </w:rPr>
        <w:t>3.1.7 培训</w:t>
      </w:r>
      <w:bookmarkEnd w:id="147"/>
      <w:bookmarkEnd w:id="148"/>
      <w:bookmarkEnd w:id="149"/>
      <w:bookmarkEnd w:id="150"/>
      <w:bookmarkEnd w:id="151"/>
      <w:bookmarkEnd w:id="152"/>
    </w:p>
    <w:p w14:paraId="1B4EF08E">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一）按照分级负责的原则，由各级防指统一组织培训。旗防指负责旗、苏木乡镇（街道）防指负责人、防汛抢险技术骨干和防汛抢险队负责人的培训；苏木乡镇（街道）防指负责本区域嘎查村（社区）防汛责任人、网格员、防汛抢险技术人员和防汛机动抢险队骨干的培训。</w:t>
      </w:r>
    </w:p>
    <w:p w14:paraId="31CEF12E">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（二）培训工作应结合实际，采取形式多样，定期与不定期相结合的方式有针对性</w:t>
      </w:r>
      <w:r>
        <w:rPr>
          <w:rFonts w:hint="eastAsia" w:ascii="仿宋_GB2312" w:hAnsi="宋体" w:eastAsia="仿宋_GB2312"/>
          <w:kern w:val="2"/>
          <w:sz w:val="32"/>
          <w:szCs w:val="32"/>
          <w:lang w:eastAsia="zh-CN"/>
        </w:rPr>
        <w:t>地</w:t>
      </w:r>
      <w:r>
        <w:rPr>
          <w:rFonts w:hint="eastAsia" w:ascii="仿宋_GB2312" w:hAnsi="宋体" w:eastAsia="仿宋_GB2312"/>
          <w:kern w:val="2"/>
          <w:sz w:val="32"/>
          <w:szCs w:val="32"/>
        </w:rPr>
        <w:t>进行。做到分类指导、内容规范、考核严格，保证培训工作质量。</w:t>
      </w:r>
    </w:p>
    <w:p w14:paraId="3C3C040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53" w:name="_Toc24557"/>
      <w:bookmarkStart w:id="154" w:name="_Toc475"/>
      <w:bookmarkStart w:id="155" w:name="_Toc107596663"/>
      <w:bookmarkStart w:id="156" w:name="_Toc18469"/>
      <w:bookmarkStart w:id="157" w:name="_Toc25383"/>
      <w:bookmarkStart w:id="158" w:name="_Toc2721"/>
      <w:r>
        <w:rPr>
          <w:rFonts w:hint="eastAsia" w:ascii="仿宋_GB2312" w:hAnsi="仿宋_GB2312" w:eastAsia="仿宋_GB2312" w:cs="仿宋_GB2312"/>
          <w:b w:val="0"/>
          <w:bCs/>
        </w:rPr>
        <w:t>3.1.8 演练</w:t>
      </w:r>
      <w:bookmarkEnd w:id="153"/>
      <w:bookmarkEnd w:id="154"/>
      <w:bookmarkEnd w:id="155"/>
      <w:bookmarkEnd w:id="156"/>
      <w:bookmarkEnd w:id="157"/>
      <w:bookmarkEnd w:id="158"/>
    </w:p>
    <w:p w14:paraId="36AA6262">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（一）旗各级防指应定期举行不同类型的应急演习，以检验、改善和强化应急准备和应急响应能力。</w:t>
      </w:r>
    </w:p>
    <w:p w14:paraId="5852FF2C">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（二）专业抢险队伍应针对易发生的各类水旱灾害险情有针对性地进行抗洪抢险演</w:t>
      </w:r>
      <w:r>
        <w:rPr>
          <w:rFonts w:hint="eastAsia" w:ascii="仿宋_GB2312" w:hAnsi="宋体" w:eastAsia="仿宋_GB2312"/>
          <w:kern w:val="2"/>
          <w:sz w:val="32"/>
          <w:szCs w:val="32"/>
          <w:lang w:val="en-US" w:eastAsia="zh-CN"/>
        </w:rPr>
        <w:t>练</w:t>
      </w:r>
      <w:r>
        <w:rPr>
          <w:rFonts w:hint="eastAsia" w:ascii="仿宋_GB2312" w:hAnsi="宋体" w:eastAsia="仿宋_GB2312"/>
          <w:kern w:val="2"/>
          <w:sz w:val="32"/>
          <w:szCs w:val="32"/>
        </w:rPr>
        <w:t>。</w:t>
      </w:r>
    </w:p>
    <w:p w14:paraId="767393FC">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（三）多个部门联合进行的专业演</w:t>
      </w:r>
      <w:r>
        <w:rPr>
          <w:rFonts w:hint="eastAsia" w:ascii="仿宋_GB2312" w:hAnsi="宋体" w:eastAsia="仿宋_GB2312"/>
          <w:kern w:val="2"/>
          <w:sz w:val="32"/>
          <w:szCs w:val="32"/>
          <w:lang w:val="en-US" w:eastAsia="zh-CN"/>
        </w:rPr>
        <w:t>练</w:t>
      </w:r>
      <w:r>
        <w:rPr>
          <w:rFonts w:hint="eastAsia" w:ascii="仿宋_GB2312" w:hAnsi="宋体" w:eastAsia="仿宋_GB2312"/>
          <w:kern w:val="2"/>
          <w:sz w:val="32"/>
          <w:szCs w:val="32"/>
        </w:rPr>
        <w:t>，</w:t>
      </w:r>
      <w:r>
        <w:rPr>
          <w:rFonts w:hint="eastAsia" w:ascii="仿宋_GB2312" w:hAnsi="宋体" w:eastAsia="仿宋_GB2312"/>
          <w:kern w:val="2"/>
          <w:sz w:val="32"/>
          <w:szCs w:val="32"/>
          <w:lang w:val="en-US" w:eastAsia="zh-CN"/>
        </w:rPr>
        <w:t>每3年至少进行一次演练</w:t>
      </w:r>
      <w:r>
        <w:rPr>
          <w:rFonts w:hint="eastAsia" w:ascii="仿宋_GB2312" w:hAnsi="宋体" w:eastAsia="仿宋_GB2312"/>
          <w:kern w:val="2"/>
          <w:sz w:val="32"/>
          <w:szCs w:val="32"/>
        </w:rPr>
        <w:t>，由旗防指负责组织。</w:t>
      </w:r>
    </w:p>
    <w:p w14:paraId="5637FD41">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159" w:name="_Toc15052"/>
      <w:bookmarkStart w:id="160" w:name="_Toc14968"/>
      <w:bookmarkStart w:id="161" w:name="_Toc1718"/>
      <w:bookmarkStart w:id="162" w:name="_Toc107596664"/>
      <w:bookmarkStart w:id="163" w:name="_Toc3976"/>
      <w:bookmarkStart w:id="164" w:name="_Toc13986"/>
      <w:r>
        <w:rPr>
          <w:rFonts w:hint="eastAsia" w:ascii="仿宋_GB2312" w:hAnsi="仿宋_GB2312" w:eastAsia="仿宋_GB2312" w:cs="仿宋_GB2312"/>
        </w:rPr>
        <w:t>3.2 监测预报</w:t>
      </w:r>
      <w:bookmarkEnd w:id="159"/>
      <w:bookmarkEnd w:id="160"/>
      <w:bookmarkEnd w:id="161"/>
      <w:bookmarkEnd w:id="162"/>
      <w:bookmarkEnd w:id="163"/>
      <w:bookmarkEnd w:id="164"/>
    </w:p>
    <w:p w14:paraId="47CD21F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旗气象、水利、自然资源、</w:t>
      </w:r>
      <w:r>
        <w:rPr>
          <w:rFonts w:hint="eastAsia" w:ascii="仿宋_GB2312" w:hAnsi="宋体" w:eastAsia="仿宋_GB2312"/>
          <w:sz w:val="32"/>
          <w:szCs w:val="32"/>
          <w:lang w:eastAsia="zh-CN"/>
        </w:rPr>
        <w:t>住房和城乡建设</w:t>
      </w:r>
      <w:r>
        <w:rPr>
          <w:rFonts w:hint="eastAsia" w:ascii="仿宋_GB2312" w:hAnsi="宋体" w:eastAsia="仿宋_GB2312"/>
          <w:sz w:val="32"/>
          <w:szCs w:val="32"/>
        </w:rPr>
        <w:t>、城市综合执法等部门按照职能分工，负责并加强气象、洪涝、地质灾害、工程、危房等信息的监测预报，将预报结果及时报告旗防办。遭遇重大灾害性天气时，应加强联合监测、会商和预报，尽可能延长预见期，并对未来可能发展趋势及影响作出评估，将评估结果报告旗防办。</w:t>
      </w:r>
    </w:p>
    <w:p w14:paraId="4EE83A01">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65" w:name="_Toc2323"/>
      <w:bookmarkStart w:id="166" w:name="_Toc19391"/>
      <w:bookmarkStart w:id="167" w:name="_Toc16285"/>
      <w:bookmarkStart w:id="168" w:name="_Toc107596665"/>
      <w:bookmarkStart w:id="169" w:name="_Toc28512"/>
      <w:bookmarkStart w:id="170" w:name="_Toc2509"/>
      <w:r>
        <w:rPr>
          <w:rFonts w:hint="eastAsia" w:ascii="仿宋_GB2312" w:hAnsi="仿宋_GB2312" w:eastAsia="仿宋_GB2312" w:cs="仿宋_GB2312"/>
          <w:b w:val="0"/>
          <w:bCs/>
        </w:rPr>
        <w:t>3.2.1 气象水文信息</w:t>
      </w:r>
      <w:bookmarkEnd w:id="165"/>
      <w:bookmarkEnd w:id="166"/>
      <w:bookmarkEnd w:id="167"/>
      <w:bookmarkEnd w:id="168"/>
      <w:bookmarkEnd w:id="169"/>
      <w:bookmarkEnd w:id="170"/>
    </w:p>
    <w:p w14:paraId="510665F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气象、驻旗水文部门要加强对暴雨、台风、水情信息的监测预报，及时报送旗防办。气象部门在汛期每日8时要向旗防办提供过去24小时降水实况和未来72小时天气预报；当遇大到暴雨并持续时，应加密频次滚动报送。水文部门每日8时要提供全旗重要河流水文站点的水情信息；当遇超警戒水位时，应加密报送。</w:t>
      </w:r>
    </w:p>
    <w:p w14:paraId="5084D0A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71" w:name="_Toc32562"/>
      <w:bookmarkStart w:id="172" w:name="_Toc15078"/>
      <w:bookmarkStart w:id="173" w:name="_Toc29079"/>
      <w:bookmarkStart w:id="174" w:name="_Toc107596666"/>
      <w:bookmarkStart w:id="175" w:name="_Toc11553"/>
      <w:bookmarkStart w:id="176" w:name="_Toc29261"/>
      <w:r>
        <w:rPr>
          <w:rFonts w:hint="eastAsia" w:ascii="仿宋_GB2312" w:hAnsi="仿宋_GB2312" w:eastAsia="仿宋_GB2312" w:cs="仿宋_GB2312"/>
          <w:b w:val="0"/>
          <w:bCs/>
        </w:rPr>
        <w:t>3.2.2 工情信息</w:t>
      </w:r>
      <w:bookmarkEnd w:id="171"/>
      <w:bookmarkEnd w:id="172"/>
      <w:bookmarkEnd w:id="173"/>
      <w:bookmarkEnd w:id="174"/>
      <w:bookmarkEnd w:id="175"/>
      <w:bookmarkEnd w:id="176"/>
    </w:p>
    <w:p w14:paraId="2F27A0A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w:t>
      </w:r>
      <w:r>
        <w:rPr>
          <w:rFonts w:hint="eastAsia" w:ascii="仿宋_GB2312" w:hAnsi="宋体" w:eastAsia="仿宋_GB2312"/>
          <w:sz w:val="32"/>
          <w:szCs w:val="32"/>
          <w:lang w:eastAsia="zh-CN"/>
        </w:rPr>
        <w:t>住房和城乡建设</w:t>
      </w:r>
      <w:r>
        <w:rPr>
          <w:rFonts w:hint="eastAsia" w:ascii="仿宋_GB2312" w:hAnsi="宋体" w:eastAsia="仿宋_GB2312"/>
          <w:sz w:val="32"/>
          <w:szCs w:val="32"/>
        </w:rPr>
        <w:t>、城市综合执法等部门按照各自职责掌握湖泊水库蓄水、危房、城乡供水等情况，做好工情、险情监测,及时将信息报旗防办。</w:t>
      </w:r>
    </w:p>
    <w:p w14:paraId="35A57B83">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77" w:name="_Toc22126"/>
      <w:bookmarkStart w:id="178" w:name="_Toc8057"/>
      <w:bookmarkStart w:id="179" w:name="_Toc107596667"/>
      <w:bookmarkStart w:id="180" w:name="_Toc30667"/>
      <w:bookmarkStart w:id="181" w:name="_Toc21826"/>
      <w:bookmarkStart w:id="182" w:name="_Toc12117"/>
      <w:r>
        <w:rPr>
          <w:rFonts w:hint="eastAsia" w:ascii="仿宋_GB2312" w:hAnsi="仿宋_GB2312" w:eastAsia="仿宋_GB2312" w:cs="仿宋_GB2312"/>
          <w:b w:val="0"/>
          <w:bCs/>
        </w:rPr>
        <w:t>3.2.3 洪涝灾情信息</w:t>
      </w:r>
      <w:bookmarkEnd w:id="177"/>
      <w:bookmarkEnd w:id="178"/>
      <w:bookmarkEnd w:id="179"/>
      <w:bookmarkEnd w:id="180"/>
      <w:bookmarkEnd w:id="181"/>
      <w:bookmarkEnd w:id="182"/>
    </w:p>
    <w:p w14:paraId="52F7FEA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洪涝灾情发生后，有关部门要按照职责权限，收集灾情信息，全面掌握受灾情况，及时报送旗防办，并持续跟踪核实上报，为抗灾救灾提供准确依据。洪涝灾情信息主要包括:灾害发生的时间、地点、范围、受灾人口以及</w:t>
      </w:r>
      <w:r>
        <w:rPr>
          <w:rFonts w:hint="eastAsia" w:ascii="仿宋_GB2312" w:hAnsi="宋体" w:eastAsia="仿宋_GB2312"/>
          <w:sz w:val="32"/>
          <w:szCs w:val="32"/>
          <w:lang w:val="en-US" w:eastAsia="zh-CN"/>
        </w:rPr>
        <w:t>住房及居民家庭</w:t>
      </w:r>
      <w:r>
        <w:rPr>
          <w:rFonts w:hint="eastAsia" w:ascii="仿宋_GB2312" w:hAnsi="宋体" w:eastAsia="仿宋_GB2312"/>
          <w:sz w:val="32"/>
          <w:szCs w:val="32"/>
        </w:rPr>
        <w:t>财产、农林牧渔</w:t>
      </w:r>
      <w:r>
        <w:rPr>
          <w:rFonts w:hint="eastAsia" w:ascii="仿宋_GB2312" w:hAnsi="宋体" w:eastAsia="仿宋_GB2312"/>
          <w:sz w:val="32"/>
          <w:szCs w:val="32"/>
          <w:lang w:val="en-US" w:eastAsia="zh-CN"/>
        </w:rPr>
        <w:t>业</w:t>
      </w:r>
      <w:r>
        <w:rPr>
          <w:rFonts w:hint="eastAsia" w:ascii="仿宋_GB2312" w:hAnsi="宋体" w:eastAsia="仿宋_GB2312"/>
          <w:sz w:val="32"/>
          <w:szCs w:val="32"/>
        </w:rPr>
        <w:t>、</w:t>
      </w:r>
      <w:r>
        <w:rPr>
          <w:rFonts w:hint="eastAsia" w:ascii="仿宋_GB2312" w:hAnsi="宋体" w:eastAsia="仿宋_GB2312"/>
          <w:sz w:val="32"/>
          <w:szCs w:val="32"/>
          <w:lang w:val="en-US" w:eastAsia="zh-CN"/>
        </w:rPr>
        <w:t>工矿商贸业</w:t>
      </w:r>
      <w:r>
        <w:rPr>
          <w:rFonts w:hint="eastAsia" w:ascii="仿宋_GB2312" w:hAnsi="宋体" w:eastAsia="仿宋_GB2312"/>
          <w:sz w:val="32"/>
          <w:szCs w:val="32"/>
        </w:rPr>
        <w:t>、</w:t>
      </w:r>
      <w:r>
        <w:rPr>
          <w:rFonts w:hint="eastAsia" w:ascii="仿宋_GB2312" w:hAnsi="宋体" w:eastAsia="仿宋_GB2312"/>
          <w:sz w:val="32"/>
          <w:szCs w:val="32"/>
          <w:lang w:val="en-US" w:eastAsia="zh-CN"/>
        </w:rPr>
        <w:t>基础设施</w:t>
      </w:r>
      <w:r>
        <w:rPr>
          <w:rFonts w:hint="eastAsia" w:ascii="仿宋_GB2312" w:hAnsi="宋体" w:eastAsia="仿宋_GB2312"/>
          <w:sz w:val="32"/>
          <w:szCs w:val="32"/>
        </w:rPr>
        <w:t>、</w:t>
      </w:r>
      <w:r>
        <w:rPr>
          <w:rFonts w:hint="eastAsia" w:ascii="仿宋_GB2312" w:hAnsi="宋体" w:eastAsia="仿宋_GB2312"/>
          <w:sz w:val="32"/>
          <w:szCs w:val="32"/>
          <w:lang w:val="en-US" w:eastAsia="zh-CN"/>
        </w:rPr>
        <w:t>公共服务及其他</w:t>
      </w:r>
      <w:r>
        <w:rPr>
          <w:rFonts w:hint="eastAsia" w:ascii="仿宋_GB2312" w:hAnsi="宋体" w:eastAsia="仿宋_GB2312"/>
          <w:sz w:val="32"/>
          <w:szCs w:val="32"/>
        </w:rPr>
        <w:t>方面的损失。</w:t>
      </w:r>
    </w:p>
    <w:p w14:paraId="247FCA46">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83" w:name="_Toc3015"/>
      <w:r>
        <w:rPr>
          <w:rFonts w:hint="eastAsia" w:ascii="仿宋_GB2312" w:hAnsi="仿宋_GB2312" w:eastAsia="仿宋_GB2312" w:cs="仿宋_GB2312"/>
          <w:b w:val="0"/>
          <w:bCs/>
        </w:rPr>
        <w:t>3.2.4 旱情信息</w:t>
      </w:r>
      <w:bookmarkEnd w:id="183"/>
    </w:p>
    <w:p w14:paraId="63621F9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农牧业、林草等相关部门应掌握湖泊水库蓄水、土壤墒情、农牧业受旱面积、城乡饮水困难人口等情况，发生旱灾时，按照旱情统计报送规定及时报送旗防办，遇旱情急剧发展时应加报。旱情信息主要包括：旱情发生的时间、地点、范围、受灾人口以及工农林牧渔业等方面的损失。</w:t>
      </w:r>
    </w:p>
    <w:p w14:paraId="3A9DEF41">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184" w:name="_Toc17249"/>
      <w:bookmarkStart w:id="185" w:name="_Toc8942"/>
      <w:bookmarkStart w:id="186" w:name="_Toc19302"/>
      <w:bookmarkStart w:id="187" w:name="_Toc107596668"/>
      <w:bookmarkStart w:id="188" w:name="_Toc18357"/>
      <w:bookmarkStart w:id="189" w:name="_Toc7562"/>
      <w:r>
        <w:rPr>
          <w:rFonts w:hint="eastAsia" w:ascii="仿宋_GB2312" w:hAnsi="仿宋_GB2312" w:eastAsia="仿宋_GB2312" w:cs="仿宋_GB2312"/>
        </w:rPr>
        <w:t>3.3 预警发布</w:t>
      </w:r>
      <w:bookmarkEnd w:id="184"/>
      <w:bookmarkEnd w:id="185"/>
      <w:bookmarkEnd w:id="186"/>
      <w:bookmarkEnd w:id="187"/>
      <w:bookmarkEnd w:id="188"/>
      <w:bookmarkEnd w:id="189"/>
    </w:p>
    <w:p w14:paraId="6B714FB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气象、水利、自然资源、</w:t>
      </w:r>
      <w:r>
        <w:rPr>
          <w:rFonts w:hint="eastAsia" w:ascii="仿宋_GB2312" w:hAnsi="宋体" w:eastAsia="仿宋_GB2312"/>
          <w:sz w:val="32"/>
          <w:szCs w:val="32"/>
          <w:lang w:eastAsia="zh-CN"/>
        </w:rPr>
        <w:t>住房和城乡建设</w:t>
      </w:r>
      <w:r>
        <w:rPr>
          <w:rFonts w:hint="eastAsia" w:ascii="仿宋_GB2312" w:hAnsi="宋体" w:eastAsia="仿宋_GB2312"/>
          <w:sz w:val="32"/>
          <w:szCs w:val="32"/>
        </w:rPr>
        <w:t>等有关部门应依据职责建立预警信息报送、发布制度。</w:t>
      </w:r>
    </w:p>
    <w:p w14:paraId="3B7FA97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信息分为四级，分别用蓝色、黄色、橙色和红色表示。蓝色为Ⅳ级预警，预示可能对预警区域造成一般程度的危害；黄色和橙色则分别为Ⅲ级和Ⅱ级预警信号，预示着灾害危害程度较重和严重；红色为Ⅰ级预警，预示着灾害危害特别严重，要立即采取防灾避险的措施。</w:t>
      </w:r>
    </w:p>
    <w:p w14:paraId="4759611B">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90" w:name="_Toc30882"/>
      <w:bookmarkStart w:id="191" w:name="_Toc19444"/>
      <w:bookmarkStart w:id="192" w:name="_Toc107596669"/>
      <w:bookmarkStart w:id="193" w:name="_Toc11124"/>
      <w:bookmarkStart w:id="194" w:name="_Toc18569"/>
      <w:bookmarkStart w:id="195" w:name="_Toc31587"/>
      <w:r>
        <w:rPr>
          <w:rFonts w:hint="eastAsia" w:ascii="仿宋_GB2312" w:hAnsi="仿宋_GB2312" w:eastAsia="仿宋_GB2312" w:cs="仿宋_GB2312"/>
          <w:b w:val="0"/>
          <w:bCs/>
        </w:rPr>
        <w:t>3.3.1 气象灾害预警</w:t>
      </w:r>
      <w:bookmarkEnd w:id="190"/>
      <w:bookmarkEnd w:id="191"/>
      <w:bookmarkEnd w:id="192"/>
      <w:bookmarkEnd w:id="193"/>
      <w:bookmarkEnd w:id="194"/>
      <w:bookmarkEnd w:id="195"/>
    </w:p>
    <w:p w14:paraId="0C73E067">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气象局负责旗行政区域内公众气象预报、灾害性天气警报，依法及时发布灾害性天气警报和气象灾害预警信息；与旗防办、水利局实时共享卫星图像数据、气象监测预报预警信息。</w:t>
      </w:r>
    </w:p>
    <w:p w14:paraId="7FAAC22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196" w:name="_Toc7750"/>
      <w:bookmarkStart w:id="197" w:name="_Toc23166"/>
      <w:bookmarkStart w:id="198" w:name="_Toc32347"/>
      <w:bookmarkStart w:id="199" w:name="_Toc8584"/>
      <w:bookmarkStart w:id="200" w:name="_Toc22968"/>
      <w:bookmarkStart w:id="201" w:name="_Toc107596670"/>
      <w:r>
        <w:rPr>
          <w:rFonts w:hint="eastAsia" w:ascii="仿宋_GB2312" w:hAnsi="仿宋_GB2312" w:eastAsia="仿宋_GB2312" w:cs="仿宋_GB2312"/>
          <w:b w:val="0"/>
          <w:bCs/>
        </w:rPr>
        <w:t>3.3.2 水雨情、工情预警</w:t>
      </w:r>
      <w:bookmarkEnd w:id="196"/>
      <w:bookmarkEnd w:id="197"/>
      <w:bookmarkEnd w:id="198"/>
      <w:bookmarkEnd w:id="199"/>
      <w:bookmarkEnd w:id="200"/>
      <w:bookmarkEnd w:id="201"/>
    </w:p>
    <w:p w14:paraId="45C4104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水利局负责旗行政区域内的水雨情、工情的监测预报，依法及时发布水雨情、汛情预警信息和水利工程险情信息；及时向旗防办报告水雨情、汛情监测预报预警和调度信息。</w:t>
      </w:r>
    </w:p>
    <w:p w14:paraId="57A3EC9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承担旗水文监测预报工作的部门应及时向旗防办报告水位、流量以及洪水趋势等情况，为预警提供水文依据。需跨旗通报和发布水文预警的，按照有关规定执行。</w:t>
      </w:r>
    </w:p>
    <w:p w14:paraId="4658FD8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02" w:name="_Toc6801"/>
      <w:bookmarkStart w:id="203" w:name="_Toc13776"/>
      <w:bookmarkStart w:id="204" w:name="_Toc20948"/>
      <w:bookmarkStart w:id="205" w:name="_Toc17053"/>
      <w:bookmarkStart w:id="206" w:name="_Toc107596671"/>
      <w:bookmarkStart w:id="207" w:name="_Toc28338"/>
      <w:r>
        <w:rPr>
          <w:rFonts w:hint="eastAsia" w:ascii="仿宋_GB2312" w:hAnsi="仿宋_GB2312" w:eastAsia="仿宋_GB2312" w:cs="仿宋_GB2312"/>
          <w:b w:val="0"/>
          <w:bCs/>
        </w:rPr>
        <w:t>3.3.3 地质灾害预警</w:t>
      </w:r>
      <w:bookmarkEnd w:id="202"/>
      <w:bookmarkEnd w:id="203"/>
      <w:bookmarkEnd w:id="204"/>
      <w:bookmarkEnd w:id="205"/>
      <w:bookmarkEnd w:id="206"/>
      <w:bookmarkEnd w:id="207"/>
    </w:p>
    <w:p w14:paraId="217E225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自然资源局负责与防汛有关的地质灾害观测预报、监测预警工作，依法及时发布地质灾害观测预报和预警信息；与旗防办、水利局实时共享监测预报预警信息。</w:t>
      </w:r>
    </w:p>
    <w:p w14:paraId="700E339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08" w:name="_Toc30662"/>
      <w:bookmarkStart w:id="209" w:name="_Toc13901"/>
      <w:bookmarkStart w:id="210" w:name="_Toc32170"/>
      <w:bookmarkStart w:id="211" w:name="_Toc11790"/>
      <w:bookmarkStart w:id="212" w:name="_Toc107596672"/>
      <w:bookmarkStart w:id="213" w:name="_Toc11031"/>
      <w:r>
        <w:rPr>
          <w:rFonts w:hint="eastAsia" w:ascii="仿宋_GB2312" w:hAnsi="仿宋_GB2312" w:eastAsia="仿宋_GB2312" w:cs="仿宋_GB2312"/>
          <w:b w:val="0"/>
          <w:bCs/>
        </w:rPr>
        <w:t>3.3.4 中心城区极端天气洪涝灾害预警</w:t>
      </w:r>
      <w:bookmarkEnd w:id="208"/>
      <w:bookmarkEnd w:id="209"/>
      <w:bookmarkEnd w:id="210"/>
      <w:bookmarkEnd w:id="211"/>
      <w:bookmarkEnd w:id="212"/>
      <w:bookmarkEnd w:id="213"/>
    </w:p>
    <w:p w14:paraId="0496759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lang w:eastAsia="zh-CN"/>
        </w:rPr>
        <w:t>住房和城乡建设局</w:t>
      </w:r>
      <w:r>
        <w:rPr>
          <w:rFonts w:hint="eastAsia" w:ascii="仿宋_GB2312" w:hAnsi="宋体" w:eastAsia="仿宋_GB2312"/>
          <w:sz w:val="32"/>
          <w:szCs w:val="32"/>
        </w:rPr>
        <w:t>、城市综合管理执法局负责经棚中心城区极端天气洪涝灾害监测预警工作，依法及时发布中心城区洪涝预警信息；与旗防办、水利局实时共享监测预报预警信息。中心城区极端天气洪涝灾害预警发布</w:t>
      </w:r>
      <w:r>
        <w:rPr>
          <w:rFonts w:hint="eastAsia" w:ascii="仿宋_GB2312" w:hAnsi="宋体" w:eastAsia="仿宋_GB2312"/>
          <w:sz w:val="32"/>
          <w:szCs w:val="32"/>
          <w:lang w:eastAsia="zh-CN"/>
        </w:rPr>
        <w:t>按照</w:t>
      </w:r>
      <w:r>
        <w:rPr>
          <w:rFonts w:hint="eastAsia" w:ascii="仿宋_GB2312" w:hAnsi="宋体" w:eastAsia="仿宋_GB2312"/>
          <w:sz w:val="32"/>
          <w:szCs w:val="32"/>
        </w:rPr>
        <w:t>《克什克腾旗城市管理综合行政执法局中心城区极端天气洪涝灾害监测预警信息发布管理办法》（附件4）执行。</w:t>
      </w:r>
    </w:p>
    <w:p w14:paraId="7617B79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14" w:name="_Toc17207"/>
      <w:bookmarkStart w:id="215" w:name="_Toc13599"/>
      <w:bookmarkStart w:id="216" w:name="_Toc22067"/>
      <w:bookmarkStart w:id="217" w:name="_Toc23096"/>
      <w:bookmarkStart w:id="218" w:name="_Toc3030"/>
      <w:bookmarkStart w:id="219" w:name="_Toc107596673"/>
      <w:r>
        <w:rPr>
          <w:rFonts w:hint="eastAsia" w:ascii="仿宋_GB2312" w:hAnsi="仿宋_GB2312" w:eastAsia="仿宋_GB2312" w:cs="仿宋_GB2312"/>
          <w:b w:val="0"/>
          <w:bCs/>
        </w:rPr>
        <w:t>3.3.5 预警信息发布、调整和解除</w:t>
      </w:r>
      <w:bookmarkEnd w:id="214"/>
      <w:bookmarkEnd w:id="215"/>
      <w:bookmarkEnd w:id="216"/>
      <w:bookmarkEnd w:id="217"/>
      <w:bookmarkEnd w:id="218"/>
      <w:bookmarkEnd w:id="219"/>
    </w:p>
    <w:p w14:paraId="2608BEF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部门发布预警信号前要及时报告旗防办。预警信号发布、调整和解除可通过公告、广播、电视、报刊、通信、信息网络、手机、警报器、宣传车等方式传达给社会公众，必要时应组织人员逐户通知。具体发布方式由预警发布部门研究确定，必要时可提请旗防指协调发布。</w:t>
      </w:r>
    </w:p>
    <w:p w14:paraId="449AF5F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根据气象、雨水情变化趋势和工程运用情况，预警发布部门应及时调整预警级别或解除预警。</w:t>
      </w:r>
    </w:p>
    <w:p w14:paraId="208D5553">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20" w:name="_Toc107596674"/>
      <w:bookmarkStart w:id="221" w:name="_Toc2908"/>
      <w:bookmarkStart w:id="222" w:name="_Toc30241"/>
      <w:bookmarkStart w:id="223" w:name="_Toc25366"/>
      <w:bookmarkStart w:id="224" w:name="_Toc23455"/>
      <w:bookmarkStart w:id="225" w:name="_Toc4934"/>
      <w:r>
        <w:rPr>
          <w:rFonts w:hint="eastAsia" w:ascii="仿宋_GB2312" w:hAnsi="仿宋_GB2312" w:eastAsia="仿宋_GB2312" w:cs="仿宋_GB2312"/>
          <w:b w:val="0"/>
          <w:bCs/>
        </w:rPr>
        <w:t>3.3.6 预警信号接收反馈</w:t>
      </w:r>
      <w:bookmarkEnd w:id="220"/>
      <w:bookmarkEnd w:id="221"/>
      <w:bookmarkEnd w:id="222"/>
      <w:bookmarkEnd w:id="223"/>
      <w:bookmarkEnd w:id="224"/>
      <w:bookmarkEnd w:id="225"/>
    </w:p>
    <w:p w14:paraId="095772D0">
      <w:pPr>
        <w:pStyle w:val="19"/>
        <w:widowControl/>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防办收到各有关部门的防汛抗旱预警信号后，旗防办应及时召集组织各有关部门进行会商，分析事件的性质，预测事态发展趋势和可能造成的危害程度，属于可能发生气象、河流洪水、城市内涝、山洪地质灾害、堤防决口、水闸垮塌、水库溃坝、供水危机的，按规定的处置程序报告旗防指和市防指，并组织指挥有关部门或单位按照职能分工，迅速进行工作部署,采取处置措施，做好启动各类相关预警响应和应急响应的准备，控制事态发展。</w:t>
      </w:r>
    </w:p>
    <w:p w14:paraId="74C40187">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26" w:name="_Toc1507"/>
      <w:bookmarkStart w:id="227" w:name="_Toc19014"/>
      <w:bookmarkStart w:id="228" w:name="_Toc107596675"/>
      <w:bookmarkStart w:id="229" w:name="_Toc21992"/>
      <w:bookmarkStart w:id="230" w:name="_Toc31456"/>
      <w:bookmarkStart w:id="231" w:name="_Toc8081"/>
      <w:r>
        <w:rPr>
          <w:rFonts w:hint="eastAsia" w:ascii="仿宋_GB2312" w:hAnsi="仿宋_GB2312" w:eastAsia="仿宋_GB2312" w:cs="仿宋_GB2312"/>
          <w:b w:val="0"/>
          <w:bCs/>
        </w:rPr>
        <w:t>3.3.7 预警支持系统</w:t>
      </w:r>
      <w:bookmarkEnd w:id="226"/>
      <w:bookmarkEnd w:id="227"/>
      <w:bookmarkEnd w:id="228"/>
      <w:bookmarkEnd w:id="229"/>
      <w:bookmarkEnd w:id="230"/>
      <w:bookmarkEnd w:id="231"/>
    </w:p>
    <w:p w14:paraId="2371EF9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（一）防御洪水方案</w:t>
      </w:r>
    </w:p>
    <w:p w14:paraId="3B360DE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水利局应根据流域防洪规划、气候变化、行政区域调整、经济社会发展、人口迁移、基础设施建设等实际情况，编制和修订旗主要河流防御洪水方案，主动应对河流湖库洪水。</w:t>
      </w:r>
    </w:p>
    <w:p w14:paraId="12C7FD1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（二）河湖、堤防、水库、</w:t>
      </w:r>
      <w:r>
        <w:rPr>
          <w:rFonts w:hint="eastAsia" w:ascii="仿宋_GB2312" w:hAnsi="宋体" w:eastAsia="仿宋_GB2312"/>
          <w:sz w:val="32"/>
          <w:szCs w:val="32"/>
          <w:lang w:val="en-US" w:eastAsia="zh-CN"/>
        </w:rPr>
        <w:t>塘坝、</w:t>
      </w:r>
      <w:r>
        <w:rPr>
          <w:rFonts w:hint="eastAsia" w:ascii="仿宋_GB2312" w:hAnsi="宋体" w:eastAsia="仿宋_GB2312"/>
          <w:sz w:val="32"/>
          <w:szCs w:val="32"/>
        </w:rPr>
        <w:t>闸涵等防洪工程主管部门应及时修订和完善洪水调度方案、工程度汛方案等。</w:t>
      </w:r>
    </w:p>
    <w:p w14:paraId="7F97F2FE">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（三）各类防御洪水预案、洪水调度方案和工程度汛方案等按规定逐级上报审批，凡经旗政府、旗防指或有关主管部门审批的均具有权威性和法定效力，应坚决贯彻执行。</w:t>
      </w:r>
    </w:p>
    <w:p w14:paraId="36361626">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232" w:name="_Toc25706"/>
      <w:bookmarkStart w:id="233" w:name="_Toc18483"/>
      <w:bookmarkStart w:id="234" w:name="_Toc24703"/>
      <w:bookmarkStart w:id="235" w:name="_Toc31962"/>
      <w:bookmarkStart w:id="236" w:name="_Toc107596676"/>
      <w:bookmarkStart w:id="237" w:name="_Toc22364"/>
      <w:r>
        <w:rPr>
          <w:rFonts w:hint="eastAsia" w:ascii="仿宋_GB2312" w:hAnsi="仿宋_GB2312" w:eastAsia="仿宋_GB2312" w:cs="仿宋_GB2312"/>
        </w:rPr>
        <w:t>3.4 预警响应</w:t>
      </w:r>
      <w:bookmarkEnd w:id="232"/>
      <w:bookmarkEnd w:id="233"/>
      <w:bookmarkEnd w:id="234"/>
      <w:bookmarkEnd w:id="235"/>
      <w:bookmarkEnd w:id="236"/>
      <w:bookmarkEnd w:id="237"/>
    </w:p>
    <w:p w14:paraId="38F1105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38" w:name="_Toc3192"/>
      <w:bookmarkStart w:id="239" w:name="_Toc107596677"/>
      <w:bookmarkStart w:id="240" w:name="_Toc15000"/>
      <w:bookmarkStart w:id="241" w:name="_Toc24196"/>
      <w:bookmarkStart w:id="242" w:name="_Toc18588"/>
      <w:bookmarkStart w:id="243" w:name="_Toc18980"/>
      <w:r>
        <w:rPr>
          <w:rFonts w:hint="eastAsia" w:ascii="仿宋_GB2312" w:hAnsi="仿宋_GB2312" w:eastAsia="仿宋_GB2312" w:cs="仿宋_GB2312"/>
          <w:b w:val="0"/>
          <w:bCs/>
        </w:rPr>
        <w:t>3.4.1 响应分级</w:t>
      </w:r>
      <w:bookmarkEnd w:id="238"/>
      <w:bookmarkEnd w:id="239"/>
      <w:bookmarkEnd w:id="240"/>
      <w:bookmarkEnd w:id="241"/>
      <w:bookmarkEnd w:id="242"/>
      <w:bookmarkEnd w:id="243"/>
    </w:p>
    <w:p w14:paraId="2A2186A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旗防指在充分会商研判基础上，根据暴雨、洪水、地质灾害、城市内涝等预警信号级别、发展</w:t>
      </w:r>
      <w:r>
        <w:rPr>
          <w:rFonts w:hint="eastAsia" w:ascii="仿宋_GB2312" w:hAnsi="宋体" w:eastAsia="仿宋_GB2312"/>
          <w:sz w:val="32"/>
          <w:szCs w:val="32"/>
          <w:lang w:eastAsia="zh-CN"/>
        </w:rPr>
        <w:t>态势</w:t>
      </w:r>
      <w:r>
        <w:rPr>
          <w:rFonts w:hint="eastAsia" w:ascii="仿宋_GB2312" w:hAnsi="宋体" w:eastAsia="仿宋_GB2312"/>
          <w:sz w:val="32"/>
          <w:szCs w:val="32"/>
        </w:rPr>
        <w:t>及危害程度，启动对应的预警响应，预警响应级别从低到高分为Ⅳ级、Ⅲ级、Ⅱ级、Ⅰ级，分别以蓝色、黄色、橙色、红色标识。</w:t>
      </w:r>
    </w:p>
    <w:p w14:paraId="1801718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44" w:name="_Toc11034"/>
      <w:bookmarkStart w:id="245" w:name="_Toc21753"/>
      <w:bookmarkStart w:id="246" w:name="_Toc16814"/>
      <w:bookmarkStart w:id="247" w:name="_Toc21514"/>
      <w:bookmarkStart w:id="248" w:name="_Toc107596679"/>
      <w:bookmarkStart w:id="249" w:name="_Toc2838"/>
      <w:r>
        <w:rPr>
          <w:rFonts w:hint="eastAsia" w:ascii="仿宋_GB2312" w:hAnsi="仿宋_GB2312" w:eastAsia="仿宋_GB2312" w:cs="仿宋_GB2312"/>
          <w:b w:val="0"/>
          <w:bCs/>
        </w:rPr>
        <w:t>3.4.2 预警响应发布程序</w:t>
      </w:r>
      <w:bookmarkEnd w:id="244"/>
      <w:bookmarkEnd w:id="245"/>
    </w:p>
    <w:p w14:paraId="12237AD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根据《克什克腾旗防汛抗旱指挥部工作规则》（附件1），旗气象局、水利局、自然资源局、</w:t>
      </w:r>
      <w:r>
        <w:rPr>
          <w:rFonts w:hint="eastAsia" w:ascii="仿宋_GB2312" w:hAnsi="宋体" w:eastAsia="仿宋_GB2312"/>
          <w:sz w:val="32"/>
          <w:szCs w:val="32"/>
          <w:lang w:eastAsia="zh-CN"/>
        </w:rPr>
        <w:t>住房和城乡建设局</w:t>
      </w:r>
      <w:r>
        <w:rPr>
          <w:rFonts w:hint="eastAsia" w:ascii="仿宋_GB2312" w:hAnsi="宋体" w:eastAsia="仿宋_GB2312"/>
          <w:sz w:val="32"/>
          <w:szCs w:val="32"/>
        </w:rPr>
        <w:t>、城市管理综合执法局等单位对水旱灾害进行监测预报，将监测预报预警结果报旗防指，并按权限向社会发布专项预警；旗防指整合分析有关成员单位监测预警信息，可形成水旱灾害综合监测预警信息进行统一发布。当监测预报值达到预警响应启动或调整的条件时，预警发布部门应向旗防办提出组织会商、启动或调整预警响应的建议。</w:t>
      </w:r>
    </w:p>
    <w:p w14:paraId="169269D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根据预警发布部门的建议，旗防办应在规定时限内组织有关部门及旗防指成员单位进行会商，研判和识别灾害性天气带来的风险，决定是否报请旗防指启动相应等级的预警响应。</w:t>
      </w:r>
    </w:p>
    <w:p w14:paraId="18F4591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预警调整或解除后，预警响应自动调整或解除。</w:t>
      </w:r>
    </w:p>
    <w:p w14:paraId="0DBF4531">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50" w:name="_Toc23298"/>
      <w:bookmarkStart w:id="251" w:name="_Toc107596678"/>
      <w:bookmarkStart w:id="252" w:name="_Toc23566"/>
      <w:bookmarkStart w:id="253" w:name="_Toc22177"/>
      <w:bookmarkStart w:id="254" w:name="_Toc16555"/>
      <w:bookmarkStart w:id="255" w:name="_Toc162"/>
      <w:r>
        <w:rPr>
          <w:rFonts w:hint="eastAsia" w:ascii="仿宋_GB2312" w:hAnsi="仿宋_GB2312" w:eastAsia="仿宋_GB2312" w:cs="仿宋_GB2312"/>
          <w:b w:val="0"/>
          <w:bCs/>
        </w:rPr>
        <w:t>3.4.3 启动、变更和解除</w:t>
      </w:r>
      <w:bookmarkEnd w:id="250"/>
      <w:bookmarkEnd w:id="251"/>
      <w:bookmarkEnd w:id="252"/>
      <w:bookmarkEnd w:id="253"/>
      <w:bookmarkEnd w:id="254"/>
      <w:bookmarkEnd w:id="255"/>
    </w:p>
    <w:p w14:paraId="6004C0A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预警响应的启动、变更和解除决定，由旗防办经会商后提出，报请旗防指有关领导签发。</w:t>
      </w:r>
    </w:p>
    <w:p w14:paraId="1E38EA6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（1）蓝色预警响应由旗防指秘书长签发启动。</w:t>
      </w:r>
    </w:p>
    <w:p w14:paraId="3F416DD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（2）黄色预警响应由旗防指副指挥（旗应急管理局局长）签发启动。</w:t>
      </w:r>
    </w:p>
    <w:p w14:paraId="7CA996D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（3）橙色预警响应由旗防指常务副指挥签发启动。</w:t>
      </w:r>
    </w:p>
    <w:p w14:paraId="5BF9DA4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（4）红色预警响应由旗防指指挥长签发启动。</w:t>
      </w:r>
    </w:p>
    <w:p w14:paraId="0C49A75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特殊情况下，预警响应可直接转换为同等级的应急响应。旗防指各成员单位根据职能分工采取预警响应行动。</w:t>
      </w:r>
    </w:p>
    <w:p w14:paraId="359ABB95">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56" w:name="_Toc22684"/>
      <w:bookmarkStart w:id="257" w:name="_Toc5837"/>
      <w:r>
        <w:rPr>
          <w:rFonts w:hint="eastAsia" w:ascii="仿宋_GB2312" w:hAnsi="仿宋_GB2312" w:eastAsia="仿宋_GB2312" w:cs="仿宋_GB2312"/>
          <w:b w:val="0"/>
          <w:bCs/>
        </w:rPr>
        <w:t>3.4.4 启动条件和行动</w:t>
      </w:r>
      <w:bookmarkEnd w:id="246"/>
      <w:bookmarkEnd w:id="247"/>
      <w:bookmarkEnd w:id="248"/>
      <w:bookmarkEnd w:id="249"/>
      <w:bookmarkEnd w:id="256"/>
      <w:bookmarkEnd w:id="257"/>
    </w:p>
    <w:p w14:paraId="3F255C3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（1）蓝色预警响应</w:t>
      </w:r>
    </w:p>
    <w:p w14:paraId="09F1F7B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条件：当发布局地1小时25mm、3小时40mm、6小时60mm降雨，洪水、地质灾害、城市内涝蓝色预警，旗防指可启动全旗或特定区域蓝色预警响应。</w:t>
      </w:r>
    </w:p>
    <w:p w14:paraId="0FA50F4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行动：旗防办及时掌握预警信息，密切关注并向旗防指报告雨情、水情、汛情、险情等情况，在4小时内组织应急、气象、水利、自然资源等部门会商。</w:t>
      </w:r>
    </w:p>
    <w:p w14:paraId="6E47098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相关苏木乡镇（街道）防指加强汛情监视。</w:t>
      </w:r>
    </w:p>
    <w:p w14:paraId="5ED5965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水利、住房和城乡建设、城市管理综合执法等部门组织对河道、水库、闸坝及城市低洼地区的巡查。</w:t>
      </w:r>
    </w:p>
    <w:p w14:paraId="66CEB95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其他相关单位按照职能分工，做好有关工作。</w:t>
      </w:r>
    </w:p>
    <w:p w14:paraId="4DEBEF9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（2）黄色预警响应</w:t>
      </w:r>
    </w:p>
    <w:p w14:paraId="53A9898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条件：当发布局地1小时30mm、3小时45mm、6小时65mm降雨，洪水、地质灾害、城市内涝黄色预警，旗防指可启动全旗或特定区域黄色预警响应。在执行蓝色预警行动基础上进入黄色预警响应或直接启动黄色预警响应。</w:t>
      </w:r>
    </w:p>
    <w:p w14:paraId="2838A4B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行动：旗防办及时掌握预警信息，密切关注并向旗防指报告雨情、水情、汛情、险情等情况，在3小时内组织应急、气象、水利、自然资源、住房和城乡建设、城市管理综合执法等部门会商，将会商决定上报旗委、旗政府、市防指。</w:t>
      </w:r>
    </w:p>
    <w:p w14:paraId="110434CA">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相关苏木乡镇（街道）防指密切监视汛情变化，启动《苏木乡镇（街道）强降雨期间转移避险响应方案》（附件5）《嘎查村(社区)强降雨期间转移避险处置方案》（附件6）和《强降雨期间山丘区人员转移避险工作方案》（附件7），随时准备转移危险地区群众；做好应急水源工程的保护和调度工作。</w:t>
      </w:r>
    </w:p>
    <w:p w14:paraId="4416CF2E">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气象局加密天气预报服务工作，增加临近天气预报频次；水利局加强重点水库、河道、山洪灾害易发区的雨情、水情监测和水利工程巡堤查险，做好工程调度准备工作；</w:t>
      </w:r>
      <w:r>
        <w:rPr>
          <w:rFonts w:hint="eastAsia" w:ascii="仿宋_GB2312" w:hAnsi="宋体" w:eastAsia="仿宋_GB2312"/>
          <w:sz w:val="32"/>
          <w:szCs w:val="32"/>
          <w:lang w:eastAsia="zh-CN"/>
        </w:rPr>
        <w:t>住房和城乡建设局</w:t>
      </w:r>
      <w:r>
        <w:rPr>
          <w:rFonts w:hint="eastAsia" w:ascii="仿宋_GB2312" w:hAnsi="宋体" w:eastAsia="仿宋_GB2312"/>
          <w:sz w:val="32"/>
          <w:szCs w:val="32"/>
        </w:rPr>
        <w:t>、城市管理综合执法局等承担城市防汛应急工作的部门做好城市排涝准备工作。宣传部门利用各类媒体、公共场所大型显示屏等实时播报天气预报、安全提示等信息，适时关注。</w:t>
      </w:r>
    </w:p>
    <w:p w14:paraId="5C16104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（3）橙色预警响应</w:t>
      </w:r>
    </w:p>
    <w:p w14:paraId="211409A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条件：当发布局地1小时35mm、3小时50mm、6小时70mm降雨，洪水、地质灾害、城市内涝橙色预警，旗防指可启动全旗或特定区域橙色预警响应。在执行黄色预警行动基础上进入橙色预警响应或直接启动橙色预警响应。</w:t>
      </w:r>
    </w:p>
    <w:p w14:paraId="673E324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行动：旗防办及时掌握预警信息，密切关注并向旗防指报告雨情、水情、汛情、险情等情况，在2小时内组织旗防指有关成员单位会商，视情况加密会商研判，将会商决定上报旗委、旗政府、市防指。</w:t>
      </w:r>
    </w:p>
    <w:p w14:paraId="1D61B21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相关苏木乡镇（街道）防指密切监视汛情变化，应急抢险救援队伍随时待命准备转移危险区域群众。</w:t>
      </w:r>
    </w:p>
    <w:p w14:paraId="705DC10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气象局加密天气预报服务工作，增加临近天气预报频次；水利局加强重点水库、河道、山洪灾害易发区的雨情、水情监测以及水利工程巡堤查险，做好工程调度准备工作；</w:t>
      </w:r>
      <w:r>
        <w:rPr>
          <w:rFonts w:hint="eastAsia" w:ascii="仿宋_GB2312" w:hAnsi="宋体" w:eastAsia="仿宋_GB2312"/>
          <w:sz w:val="32"/>
          <w:szCs w:val="32"/>
          <w:lang w:eastAsia="zh-CN"/>
        </w:rPr>
        <w:t>住房和城乡建设局</w:t>
      </w:r>
      <w:r>
        <w:rPr>
          <w:rFonts w:hint="eastAsia" w:ascii="仿宋_GB2312" w:hAnsi="宋体" w:eastAsia="仿宋_GB2312"/>
          <w:sz w:val="32"/>
          <w:szCs w:val="32"/>
        </w:rPr>
        <w:t>、城市综合执法局等承担城市防汛应急工作的部门做好城市排涝准备工作。应急管理局调动应急抢险救援队伍准备赴抢险一线，预置调拨救灾物资；旗防指从专家库中抽取水利、应急等专家组成专家组，准备赴一线进行技术指导。驻旗解放军、武警部队、消防救援等应急抢险救援队伍做好抗洪抢险准备。宣传部门利用各类媒体、公共场所大型显示屏等实时播报天气预报、安全提示等信息，及时关注。</w:t>
      </w:r>
    </w:p>
    <w:p w14:paraId="294BCC1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（4）红色预警响应</w:t>
      </w:r>
    </w:p>
    <w:p w14:paraId="597FDFB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条件：当发布局地1小时40mm、3小时55mm、6小时75mm降雨、预报未来3日内仍有100mm以上的暴雨，洪水、地质灾害、城市内涝红色预警，旗防指可根据实际情况启动全旗或特定区域红色预警响应。在执行橙色预警行动基础上进入红色预警响应或直接启动红色预警响应。</w:t>
      </w:r>
    </w:p>
    <w:p w14:paraId="02628D9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行动：旗防办及时掌握预警信号，密切关注并向旗防指报告雨情、水情、汛情、险情等情况，在1小时内组织旗防指各成员单位会商，视情况加密会商研判，将会商决定上报旗委、旗政府、市防指。</w:t>
      </w:r>
    </w:p>
    <w:p w14:paraId="47EFBA7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旗防指总指挥坐镇统一指挥、部署全旗防汛应急工作，动员全旗军民全力做好抢险救灾准备。</w:t>
      </w:r>
    </w:p>
    <w:p w14:paraId="5C0E4E2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成员单位组织指挥本系统、本行业全力做好防汛抢险救灾准备工作。旗防办密切监视雨情、水情、汛情、险情等情况。相关苏木乡镇（街道）防指密切监视汛情变化，应急抢险救援队伍奉命立即转移危险区域群众。及时启动停工（业）、停产、停学、休市等强制管控措施，关闭全旗所有涉水、涉山的旅游休闲景区、公园，封堵积水的交通桥涵。</w:t>
      </w:r>
    </w:p>
    <w:p w14:paraId="4A52890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气象局加密天气预报服务工作，增加临近天气预报频次；水利局做好水库等水利工程的调度工作；住房</w:t>
      </w:r>
      <w:r>
        <w:rPr>
          <w:rFonts w:hint="eastAsia" w:ascii="仿宋_GB2312" w:hAnsi="宋体" w:eastAsia="仿宋_GB2312"/>
          <w:sz w:val="32"/>
          <w:szCs w:val="32"/>
          <w:lang w:eastAsia="zh-CN"/>
        </w:rPr>
        <w:t>和</w:t>
      </w:r>
      <w:r>
        <w:rPr>
          <w:rFonts w:hint="eastAsia" w:ascii="仿宋_GB2312" w:hAnsi="宋体" w:eastAsia="仿宋_GB2312"/>
          <w:sz w:val="32"/>
          <w:szCs w:val="32"/>
        </w:rPr>
        <w:t>城乡建设局、城市管理综合执法局等承担城市防汛应急工作的部门做好城市防洪排涝工作。应急管理局调动应急抢险救援队伍，准备赴抢险一线，预置调拨救灾物资；旗防指从专家库中抽取水利、应急等专家组成专家组，赴一线进行技术指导，为旗委、旗政府科学决策提供技术支撑。</w:t>
      </w:r>
    </w:p>
    <w:p w14:paraId="5AE140A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全旗各级抢险队伍进入预警响应状态，驻旗解放军、武警部队、消防救援、森林消防等应急抢险救援队伍根据旗防指的指令，机动至抢险救灾位置，各类应急物资保障单位为防汛抢险救灾工作提供全力保障。</w:t>
      </w:r>
    </w:p>
    <w:p w14:paraId="5C95415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宣传部门利用各类媒体、公共场所大型显示屏等实时播报天气预报、安全提示等信息，及时关注。公共广播、电视和公共场所大型显示屏等管理单位及时播发和随时插播有关预警信息、安全提示，各电信运营商协助做好上述相关信息的短信发布工作。</w:t>
      </w:r>
    </w:p>
    <w:p w14:paraId="7EC942B2">
      <w:pPr>
        <w:widowControl/>
        <w:shd w:val="clear" w:color="auto" w:fill="FFFFFF"/>
        <w:adjustRightInd w:val="0"/>
        <w:snapToGrid w:val="0"/>
        <w:ind w:firstLine="643"/>
        <w:rPr>
          <w:rFonts w:ascii="仿宋_GB2312" w:hAnsi="宋体" w:eastAsia="仿宋_GB2312"/>
          <w:b/>
          <w:sz w:val="32"/>
          <w:szCs w:val="32"/>
        </w:rPr>
      </w:pPr>
      <w:bookmarkStart w:id="258" w:name="_Toc24403"/>
      <w:bookmarkStart w:id="259" w:name="_Toc107596681"/>
      <w:bookmarkStart w:id="260" w:name="_Toc11084"/>
      <w:bookmarkStart w:id="261" w:name="_Toc7622"/>
      <w:r>
        <w:rPr>
          <w:rFonts w:hint="eastAsia" w:ascii="仿宋_GB2312" w:hAnsi="宋体" w:eastAsia="仿宋_GB2312"/>
          <w:b/>
          <w:sz w:val="32"/>
          <w:szCs w:val="32"/>
        </w:rPr>
        <w:t>防汛预警响应工作流程见附表1</w:t>
      </w:r>
    </w:p>
    <w:p w14:paraId="442E74E6">
      <w:pPr>
        <w:pStyle w:val="2"/>
        <w:bidi w:val="0"/>
        <w:rPr>
          <w:rFonts w:hint="eastAsia" w:ascii="仿宋_GB2312" w:hAnsi="仿宋_GB2312" w:eastAsia="仿宋_GB2312" w:cs="仿宋_GB2312"/>
          <w:b/>
          <w:bCs/>
        </w:rPr>
      </w:pPr>
      <w:bookmarkStart w:id="262" w:name="_Toc29715"/>
      <w:bookmarkStart w:id="263" w:name="_Toc16768"/>
      <w:r>
        <w:rPr>
          <w:rFonts w:hint="eastAsia" w:ascii="仿宋_GB2312" w:hAnsi="仿宋_GB2312" w:eastAsia="仿宋_GB2312" w:cs="仿宋_GB2312"/>
          <w:b/>
          <w:bCs/>
        </w:rPr>
        <w:t>4 应急响应</w:t>
      </w:r>
      <w:bookmarkEnd w:id="258"/>
      <w:bookmarkEnd w:id="259"/>
      <w:bookmarkEnd w:id="260"/>
      <w:bookmarkEnd w:id="261"/>
      <w:bookmarkEnd w:id="262"/>
      <w:bookmarkEnd w:id="263"/>
    </w:p>
    <w:p w14:paraId="1BEA006C">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264" w:name="_Toc107596682"/>
      <w:bookmarkStart w:id="265" w:name="_Toc15450"/>
      <w:bookmarkStart w:id="266" w:name="_Toc4621"/>
      <w:bookmarkStart w:id="267" w:name="_Toc4284"/>
      <w:bookmarkStart w:id="268" w:name="_Toc1065"/>
      <w:bookmarkStart w:id="269" w:name="_Toc28492"/>
      <w:r>
        <w:rPr>
          <w:rFonts w:hint="eastAsia" w:ascii="仿宋_GB2312" w:hAnsi="仿宋_GB2312" w:eastAsia="仿宋_GB2312" w:cs="仿宋_GB2312"/>
        </w:rPr>
        <w:t>4.1 响应分级</w:t>
      </w:r>
      <w:bookmarkEnd w:id="264"/>
      <w:bookmarkEnd w:id="265"/>
      <w:bookmarkEnd w:id="266"/>
      <w:bookmarkEnd w:id="267"/>
      <w:bookmarkEnd w:id="268"/>
      <w:bookmarkEnd w:id="269"/>
    </w:p>
    <w:p w14:paraId="0CFEEC9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根据水旱灾害发生的性质、严重程度、可控性和影响范围等因素，应急响应行动从低到高分为：Ⅳ级（蓝色）、Ⅲ级（黄色）、Ⅱ级（橙色）和Ⅰ级（红色）四级。</w:t>
      </w:r>
    </w:p>
    <w:p w14:paraId="60AF4991">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270" w:name="_Toc22747"/>
      <w:bookmarkStart w:id="271" w:name="_Toc15275"/>
      <w:bookmarkStart w:id="272" w:name="_Toc10751"/>
      <w:bookmarkStart w:id="273" w:name="_Toc21108"/>
      <w:bookmarkStart w:id="274" w:name="_Toc5202"/>
      <w:bookmarkStart w:id="275" w:name="_Toc107596706"/>
      <w:bookmarkStart w:id="276" w:name="_Toc107596684"/>
      <w:bookmarkStart w:id="277" w:name="_Toc4432"/>
      <w:bookmarkStart w:id="278" w:name="_Toc20794"/>
      <w:bookmarkStart w:id="279" w:name="_Toc15657"/>
      <w:r>
        <w:rPr>
          <w:rFonts w:hint="eastAsia" w:ascii="仿宋_GB2312" w:hAnsi="仿宋_GB2312" w:eastAsia="仿宋_GB2312" w:cs="仿宋_GB2312"/>
        </w:rPr>
        <w:t>4.2 应急响应发布程序</w:t>
      </w:r>
      <w:bookmarkEnd w:id="270"/>
      <w:bookmarkEnd w:id="271"/>
      <w:bookmarkEnd w:id="272"/>
      <w:bookmarkEnd w:id="273"/>
      <w:bookmarkEnd w:id="274"/>
      <w:bookmarkEnd w:id="275"/>
    </w:p>
    <w:p w14:paraId="6DCE412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应急管理、气象、水利、自然资源、住建等部门发布的监测预报预警信号、预警响应措施和水旱灾害发生趋势，旗防指经组织会商研判，按照应急响应条件启动相应级别的应急响应。旗防指有关领导按照职责权限签发启动进入相应等级的水旱灾害应急响应状态。应急响应等级变化后，原等级的响应自行终止。</w:t>
      </w:r>
    </w:p>
    <w:p w14:paraId="0166FE74">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280" w:name="_Toc32043"/>
      <w:bookmarkStart w:id="281" w:name="_Toc26551"/>
      <w:bookmarkStart w:id="282" w:name="_Toc107596683"/>
      <w:bookmarkStart w:id="283" w:name="_Toc10861"/>
      <w:bookmarkStart w:id="284" w:name="_Toc22753"/>
      <w:bookmarkStart w:id="285" w:name="_Toc29722"/>
      <w:r>
        <w:rPr>
          <w:rFonts w:hint="eastAsia" w:ascii="仿宋_GB2312" w:hAnsi="仿宋_GB2312" w:eastAsia="仿宋_GB2312" w:cs="仿宋_GB2312"/>
        </w:rPr>
        <w:t>4.3 启动、变更和结束</w:t>
      </w:r>
      <w:bookmarkEnd w:id="280"/>
      <w:bookmarkEnd w:id="281"/>
      <w:bookmarkEnd w:id="282"/>
      <w:bookmarkEnd w:id="283"/>
      <w:bookmarkEnd w:id="284"/>
      <w:bookmarkEnd w:id="285"/>
    </w:p>
    <w:p w14:paraId="688EFBD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应急响应的启动由旗防办根据旗防指会商决定，报请旗防指有关领导签发，并向社会发布。</w:t>
      </w:r>
    </w:p>
    <w:p w14:paraId="6BA1C1DB">
      <w:pPr>
        <w:widowControl/>
        <w:numPr>
          <w:ilvl w:val="0"/>
          <w:numId w:val="2"/>
        </w:num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Ⅳ级应急响应由旗防指副指挥或秘书长签发启动。</w:t>
      </w:r>
    </w:p>
    <w:p w14:paraId="53367BB5">
      <w:pPr>
        <w:widowControl/>
        <w:numPr>
          <w:ilvl w:val="0"/>
          <w:numId w:val="2"/>
        </w:num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Ⅲ级应急响应由旗防指常务副指挥签发启动。</w:t>
      </w:r>
    </w:p>
    <w:p w14:paraId="14BDB42A">
      <w:pPr>
        <w:widowControl/>
        <w:numPr>
          <w:ilvl w:val="0"/>
          <w:numId w:val="2"/>
        </w:num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Ⅱ级应急响应由旗防指指挥长签发启动。</w:t>
      </w:r>
    </w:p>
    <w:p w14:paraId="40428590">
      <w:pPr>
        <w:numPr>
          <w:ilvl w:val="0"/>
          <w:numId w:val="2"/>
        </w:num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Ⅰ级应急响应由旗防指指挥长签发启动。</w:t>
      </w:r>
    </w:p>
    <w:p w14:paraId="0580D11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应急响应的等级变更和结束，由旗防办根据旗防指会商决定，报请旗防指有关领导签发，并向社会发布。</w:t>
      </w:r>
    </w:p>
    <w:p w14:paraId="486BB593">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286" w:name="_Toc14000"/>
      <w:bookmarkStart w:id="287" w:name="_Toc14533"/>
      <w:r>
        <w:rPr>
          <w:rFonts w:hint="eastAsia" w:ascii="仿宋_GB2312" w:hAnsi="仿宋_GB2312" w:eastAsia="仿宋_GB2312" w:cs="仿宋_GB2312"/>
        </w:rPr>
        <w:t>4.4 应急响应启动条件</w:t>
      </w:r>
      <w:bookmarkEnd w:id="276"/>
      <w:bookmarkEnd w:id="277"/>
      <w:bookmarkEnd w:id="278"/>
      <w:bookmarkEnd w:id="279"/>
      <w:bookmarkEnd w:id="286"/>
      <w:bookmarkEnd w:id="287"/>
    </w:p>
    <w:p w14:paraId="1068EDA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288" w:name="_Toc21171"/>
      <w:bookmarkStart w:id="289" w:name="_Toc20684"/>
      <w:bookmarkStart w:id="290" w:name="_Toc27642"/>
      <w:bookmarkStart w:id="291" w:name="_Toc107596685"/>
      <w:bookmarkStart w:id="292" w:name="_Toc881"/>
      <w:bookmarkStart w:id="293" w:name="_Toc31285"/>
      <w:r>
        <w:rPr>
          <w:rFonts w:hint="eastAsia" w:ascii="仿宋_GB2312" w:hAnsi="仿宋_GB2312" w:eastAsia="仿宋_GB2312" w:cs="仿宋_GB2312"/>
          <w:b w:val="0"/>
          <w:bCs/>
        </w:rPr>
        <w:t>4.4.1 Ⅳ级应急响应</w:t>
      </w:r>
      <w:bookmarkEnd w:id="288"/>
      <w:bookmarkEnd w:id="289"/>
      <w:bookmarkEnd w:id="290"/>
      <w:bookmarkEnd w:id="291"/>
      <w:bookmarkEnd w:id="292"/>
      <w:bookmarkEnd w:id="293"/>
    </w:p>
    <w:p w14:paraId="4894E76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出现下列条件之一，旗防指经会商研判后，启动全旗或局部Ⅳ级响应。</w:t>
      </w:r>
    </w:p>
    <w:p w14:paraId="723F245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（一）防汛Ⅳ级应急响应启动条件</w:t>
      </w:r>
    </w:p>
    <w:p w14:paraId="7817563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（1）气象、水利、自然资源等部门发布暴雨、洪水、地质灾害蓝色预警信号，旗防指已启动预警响应。</w:t>
      </w:r>
    </w:p>
    <w:p w14:paraId="73EA8BE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（2）河湖、水库大坝、堤防、闸涵等防洪工程出现较大险情。</w:t>
      </w:r>
    </w:p>
    <w:p w14:paraId="629BB47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（3）100平方公里规模以下河流出现洪水，河道超过警戒水位。</w:t>
      </w:r>
    </w:p>
    <w:p w14:paraId="3CDD1C9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（4）土壤下垫面基本饱和，局地已发生25毫米以上降雨。</w:t>
      </w:r>
    </w:p>
    <w:p w14:paraId="6635537E">
      <w:pPr>
        <w:widowControl/>
        <w:numPr>
          <w:ilvl w:val="255"/>
          <w:numId w:val="0"/>
        </w:numPr>
        <w:adjustRightInd w:val="0"/>
        <w:snapToGrid w:val="0"/>
        <w:ind w:firstLine="640" w:firstLineChars="200"/>
        <w:rPr>
          <w:rFonts w:ascii="仿宋_GB2312" w:hAnsi="宋体" w:eastAsia="仿宋_GB2312"/>
          <w:sz w:val="32"/>
          <w:szCs w:val="32"/>
        </w:rPr>
      </w:pPr>
      <w:r>
        <w:rPr>
          <w:rFonts w:hint="eastAsia" w:ascii="仿宋_GB2312" w:hAnsi="宋体" w:eastAsia="仿宋_GB2312"/>
          <w:sz w:val="32"/>
          <w:szCs w:val="32"/>
        </w:rPr>
        <w:t>（5）发生局地暴雨和山洪灾害。</w:t>
      </w:r>
    </w:p>
    <w:p w14:paraId="4E6DB6AF">
      <w:pPr>
        <w:widowControl/>
        <w:numPr>
          <w:ilvl w:val="255"/>
          <w:numId w:val="0"/>
        </w:numPr>
        <w:adjustRightInd w:val="0"/>
        <w:snapToGrid w:val="0"/>
        <w:ind w:firstLine="640" w:firstLineChars="200"/>
        <w:rPr>
          <w:rFonts w:ascii="仿宋_GB2312" w:hAnsi="宋体" w:eastAsia="仿宋_GB2312"/>
          <w:sz w:val="32"/>
          <w:szCs w:val="32"/>
        </w:rPr>
      </w:pPr>
      <w:r>
        <w:rPr>
          <w:rFonts w:hint="eastAsia" w:ascii="仿宋_GB2312" w:hAnsi="宋体" w:eastAsia="仿宋_GB2312"/>
          <w:sz w:val="32"/>
          <w:szCs w:val="32"/>
        </w:rPr>
        <w:t>（6）重点山洪沟口洪水漫堤，</w:t>
      </w:r>
      <w:r>
        <w:rPr>
          <w:rFonts w:hint="eastAsia" w:ascii="仿宋_GB2312" w:hAnsi="宋体" w:eastAsia="仿宋_GB2312"/>
          <w:sz w:val="32"/>
          <w:szCs w:val="32"/>
          <w:lang w:eastAsia="zh-CN"/>
        </w:rPr>
        <w:t>威胁</w:t>
      </w:r>
      <w:r>
        <w:rPr>
          <w:rFonts w:hint="eastAsia" w:ascii="仿宋_GB2312" w:hAnsi="宋体" w:eastAsia="仿宋_GB2312"/>
          <w:sz w:val="32"/>
          <w:szCs w:val="32"/>
        </w:rPr>
        <w:t>部分村庄房屋安全。</w:t>
      </w:r>
    </w:p>
    <w:p w14:paraId="20FC9C47">
      <w:pPr>
        <w:widowControl/>
        <w:numPr>
          <w:ilvl w:val="255"/>
          <w:numId w:val="0"/>
        </w:numPr>
        <w:adjustRightInd w:val="0"/>
        <w:snapToGrid w:val="0"/>
        <w:ind w:firstLine="640" w:firstLineChars="200"/>
        <w:rPr>
          <w:rFonts w:ascii="仿宋_GB2312" w:hAnsi="宋体" w:eastAsia="仿宋_GB2312"/>
          <w:sz w:val="32"/>
          <w:szCs w:val="32"/>
        </w:rPr>
      </w:pPr>
      <w:r>
        <w:rPr>
          <w:rFonts w:hint="eastAsia" w:ascii="仿宋_GB2312" w:hAnsi="宋体" w:eastAsia="仿宋_GB2312"/>
          <w:sz w:val="32"/>
          <w:szCs w:val="32"/>
        </w:rPr>
        <w:t>（7）自治区防指和市防指发布与克旗有关的防汛应急响应。</w:t>
      </w:r>
    </w:p>
    <w:p w14:paraId="4AC29DC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（二）抗旱Ⅳ级应急响应启动条件</w:t>
      </w:r>
    </w:p>
    <w:p w14:paraId="0726B3A0">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（1）全旗农作物受旱面积占播种面积大于20%、小于或等于30%，或牧业旱期连续天数春秋季30</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39天、夏季20</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29天。</w:t>
      </w:r>
    </w:p>
    <w:p w14:paraId="200D5EC1">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（2）因旱造成饮水困难人口占全旗总人口比例大于10%、小于或等于15%。</w:t>
      </w:r>
    </w:p>
    <w:p w14:paraId="48FEC649">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（3）连续15天城市供水保障率小于或等于95%。</w:t>
      </w:r>
    </w:p>
    <w:p w14:paraId="77D2F511">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（4）其他专项预案中需要启动抗旱Ⅳ级响应的情况。</w:t>
      </w:r>
    </w:p>
    <w:p w14:paraId="6D7D1EA3">
      <w:pPr>
        <w:widowControl/>
        <w:adjustRightInd w:val="0"/>
        <w:snapToGrid w:val="0"/>
        <w:ind w:firstLine="640"/>
        <w:outlineLvl w:val="2"/>
        <w:rPr>
          <w:rFonts w:ascii="仿宋_GB2312" w:hAnsi="宋体" w:eastAsia="仿宋_GB2312"/>
          <w:sz w:val="32"/>
          <w:szCs w:val="32"/>
        </w:rPr>
      </w:pPr>
      <w:bookmarkStart w:id="294" w:name="_Toc21551"/>
      <w:bookmarkStart w:id="295" w:name="_Toc23839"/>
      <w:bookmarkStart w:id="296" w:name="_Toc5563"/>
      <w:bookmarkStart w:id="297" w:name="_Toc107596686"/>
      <w:bookmarkStart w:id="298" w:name="_Toc16372"/>
      <w:bookmarkStart w:id="299" w:name="_Toc11633"/>
      <w:r>
        <w:rPr>
          <w:rFonts w:hint="eastAsia" w:ascii="仿宋_GB2312" w:hAnsi="宋体" w:eastAsia="仿宋_GB2312"/>
          <w:sz w:val="32"/>
          <w:szCs w:val="32"/>
        </w:rPr>
        <w:t>4.4.2 Ⅲ</w:t>
      </w:r>
      <w:bookmarkEnd w:id="294"/>
      <w:bookmarkEnd w:id="295"/>
      <w:bookmarkEnd w:id="296"/>
      <w:bookmarkEnd w:id="297"/>
      <w:r>
        <w:rPr>
          <w:rFonts w:hint="eastAsia" w:ascii="仿宋_GB2312" w:hAnsi="宋体" w:eastAsia="仿宋_GB2312"/>
          <w:sz w:val="32"/>
          <w:szCs w:val="32"/>
        </w:rPr>
        <w:t>级应急响应</w:t>
      </w:r>
      <w:bookmarkEnd w:id="298"/>
      <w:bookmarkEnd w:id="299"/>
    </w:p>
    <w:p w14:paraId="29D4614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出现下列条件之一，旗防指经综合会商研判后，启动全旗或局部Ⅲ级应急响应。</w:t>
      </w:r>
    </w:p>
    <w:p w14:paraId="6885681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（一）防汛Ⅲ级应急响应启动条件</w:t>
      </w:r>
    </w:p>
    <w:p w14:paraId="59A254A0">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（1）气象、水利、自然资源等部门发布暴雨、洪水、地质灾害黄色预警信号，旗防指已启动预警响应。</w:t>
      </w:r>
    </w:p>
    <w:p w14:paraId="53D6BD4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（2）河湖、水库大坝、堤防、闸涵等防洪工程出现重大险情。</w:t>
      </w:r>
    </w:p>
    <w:p w14:paraId="1EAA2CB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（3）500平方公里规模以下河流出现洪水，河道超过警戒水位。</w:t>
      </w:r>
    </w:p>
    <w:p w14:paraId="1038DA9E">
      <w:pPr>
        <w:numPr>
          <w:ilvl w:val="0"/>
          <w:numId w:val="3"/>
        </w:num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主要防洪河道一般河段及主要支流堤防发生险情尚未决口。</w:t>
      </w:r>
    </w:p>
    <w:p w14:paraId="062585F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（5）发生区域性暴雨和山洪灾害。</w:t>
      </w:r>
    </w:p>
    <w:p w14:paraId="3720E34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（6）洪涝灾害危及人民群众生命和财产安全。</w:t>
      </w:r>
    </w:p>
    <w:p w14:paraId="026D5FCA">
      <w:pPr>
        <w:widowControl/>
        <w:numPr>
          <w:ilvl w:val="255"/>
          <w:numId w:val="0"/>
        </w:numPr>
        <w:adjustRightInd w:val="0"/>
        <w:snapToGrid w:val="0"/>
        <w:ind w:firstLine="640" w:firstLineChars="200"/>
        <w:rPr>
          <w:rFonts w:ascii="仿宋_GB2312" w:hAnsi="宋体" w:eastAsia="仿宋_GB2312"/>
          <w:sz w:val="32"/>
          <w:szCs w:val="32"/>
        </w:rPr>
      </w:pPr>
      <w:r>
        <w:rPr>
          <w:rFonts w:hint="eastAsia" w:ascii="仿宋_GB2312" w:hAnsi="宋体" w:eastAsia="仿宋_GB2312"/>
          <w:sz w:val="32"/>
          <w:szCs w:val="32"/>
        </w:rPr>
        <w:t>（7）自治区防指和市防指发布与克旗有关的防汛应急响应。</w:t>
      </w:r>
    </w:p>
    <w:p w14:paraId="735F7FC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（二）抗旱Ⅲ级应急响应启动条件</w:t>
      </w:r>
    </w:p>
    <w:p w14:paraId="7AE383AC">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（1）全旗农作物受旱面积占播种面积大于30%、小于或等于50%，或牧业旱期连续天数春秋季40</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49天、夏季30</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39天。</w:t>
      </w:r>
    </w:p>
    <w:p w14:paraId="41B40A13">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（2）因旱造成饮水困难人口占全旗总人口比例大于15%、小于或等于20%。</w:t>
      </w:r>
    </w:p>
    <w:p w14:paraId="69E4F4FC">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（3）连续15天城市供水保障率小于或等于90%。</w:t>
      </w:r>
    </w:p>
    <w:p w14:paraId="282FBB7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（4）其他专项预案中需要启动抗旱Ⅲ级响应的情况。</w:t>
      </w:r>
    </w:p>
    <w:p w14:paraId="10341166">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00" w:name="_Toc26951"/>
      <w:bookmarkStart w:id="301" w:name="_Toc107596687"/>
      <w:bookmarkStart w:id="302" w:name="_Toc11576"/>
      <w:bookmarkStart w:id="303" w:name="_Toc11768"/>
      <w:bookmarkStart w:id="304" w:name="_Toc16450"/>
      <w:bookmarkStart w:id="305" w:name="_Toc26466"/>
      <w:r>
        <w:rPr>
          <w:rFonts w:hint="eastAsia" w:ascii="仿宋_GB2312" w:hAnsi="仿宋_GB2312" w:eastAsia="仿宋_GB2312" w:cs="仿宋_GB2312"/>
          <w:b w:val="0"/>
          <w:bCs/>
        </w:rPr>
        <w:t>4.4.3 Ⅱ级应急响应</w:t>
      </w:r>
      <w:bookmarkEnd w:id="300"/>
      <w:bookmarkEnd w:id="301"/>
      <w:bookmarkEnd w:id="302"/>
      <w:bookmarkEnd w:id="303"/>
      <w:bookmarkEnd w:id="304"/>
      <w:bookmarkEnd w:id="305"/>
    </w:p>
    <w:p w14:paraId="52F0B35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出现下列条件之一，旗防指经综合会商研判后，启动全旗或局部级Ⅱ级应急响应。</w:t>
      </w:r>
    </w:p>
    <w:p w14:paraId="20CC239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（一）防汛Ⅱ级应急响应启动条件</w:t>
      </w:r>
    </w:p>
    <w:p w14:paraId="75E1FC9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（1）气象、水利、自然资源等部门发布暴雨、洪水、地质灾害橙色预警信号，旗防指已启动预警响应。</w:t>
      </w:r>
    </w:p>
    <w:p w14:paraId="08ADB68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（2）位置重要的水库大坝、堤防、闸涵等防洪工程出现重大险情，小型水库出现垮坝。</w:t>
      </w:r>
    </w:p>
    <w:p w14:paraId="2085222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（3）500平方公里规模以上主要防洪河道的重要河段出现洪水、接近保证水位。</w:t>
      </w:r>
    </w:p>
    <w:p w14:paraId="3D03F84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（4）主要防洪河道一般河段及主要支流堤防发生决口。</w:t>
      </w:r>
    </w:p>
    <w:p w14:paraId="64103597">
      <w:pPr>
        <w:numPr>
          <w:ilvl w:val="0"/>
          <w:numId w:val="3"/>
        </w:num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发生区域性严重洪涝灾害。</w:t>
      </w:r>
    </w:p>
    <w:p w14:paraId="15A9081E">
      <w:pPr>
        <w:widowControl/>
        <w:numPr>
          <w:ilvl w:val="0"/>
          <w:numId w:val="3"/>
        </w:num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洪涝灾害严重危及人民群众生命和财产安全。</w:t>
      </w:r>
    </w:p>
    <w:p w14:paraId="3EF4EC27">
      <w:pPr>
        <w:widowControl/>
        <w:numPr>
          <w:ilvl w:val="255"/>
          <w:numId w:val="0"/>
        </w:numPr>
        <w:adjustRightInd w:val="0"/>
        <w:snapToGrid w:val="0"/>
        <w:ind w:firstLine="640" w:firstLineChars="200"/>
        <w:rPr>
          <w:rFonts w:ascii="仿宋_GB2312" w:hAnsi="宋体" w:eastAsia="仿宋_GB2312"/>
          <w:sz w:val="32"/>
          <w:szCs w:val="32"/>
        </w:rPr>
      </w:pPr>
      <w:r>
        <w:rPr>
          <w:rFonts w:hint="eastAsia" w:ascii="仿宋_GB2312" w:hAnsi="宋体" w:eastAsia="仿宋_GB2312"/>
          <w:sz w:val="32"/>
          <w:szCs w:val="32"/>
        </w:rPr>
        <w:t>（7）自治区防指和市防指发布与克旗有关的防汛应急响应。</w:t>
      </w:r>
    </w:p>
    <w:p w14:paraId="0ABEFE4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（二）抗旱Ⅱ级应急响应启动条件</w:t>
      </w:r>
    </w:p>
    <w:p w14:paraId="6BC20C7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（1）全旗农作物受旱面积占播种面积大于50%、小于或等于80%，或牧业旱期连续天数春秋季50</w:t>
      </w:r>
      <w:r>
        <w:rPr>
          <w:rFonts w:hint="eastAsia" w:ascii="仿宋_GB2312" w:hAnsi="宋体" w:eastAsia="仿宋_GB2312"/>
          <w:sz w:val="32"/>
          <w:szCs w:val="32"/>
          <w:lang w:eastAsia="zh-CN"/>
        </w:rPr>
        <w:t>～</w:t>
      </w:r>
      <w:r>
        <w:rPr>
          <w:rFonts w:hint="eastAsia" w:ascii="仿宋_GB2312" w:hAnsi="宋体" w:eastAsia="仿宋_GB2312"/>
          <w:sz w:val="32"/>
          <w:szCs w:val="32"/>
        </w:rPr>
        <w:t>59天、夏季40</w:t>
      </w:r>
      <w:r>
        <w:rPr>
          <w:rFonts w:hint="eastAsia" w:ascii="仿宋_GB2312" w:hAnsi="宋体" w:eastAsia="仿宋_GB2312"/>
          <w:sz w:val="32"/>
          <w:szCs w:val="32"/>
          <w:lang w:eastAsia="zh-CN"/>
        </w:rPr>
        <w:t>～</w:t>
      </w:r>
      <w:r>
        <w:rPr>
          <w:rFonts w:hint="eastAsia" w:ascii="仿宋_GB2312" w:hAnsi="宋体" w:eastAsia="仿宋_GB2312"/>
          <w:sz w:val="32"/>
          <w:szCs w:val="32"/>
        </w:rPr>
        <w:t>49天。</w:t>
      </w:r>
    </w:p>
    <w:p w14:paraId="6E621023">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（2）因旱造成饮水困难人口占全旗总人口比例大于20%、小于或等于30%。</w:t>
      </w:r>
    </w:p>
    <w:p w14:paraId="68A16633">
      <w:pPr>
        <w:pStyle w:val="7"/>
        <w:adjustRightInd w:val="0"/>
        <w:snapToGrid w:val="0"/>
        <w:spacing w:line="560" w:lineRule="exact"/>
        <w:ind w:firstLine="640"/>
        <w:jc w:val="both"/>
        <w:rPr>
          <w:rFonts w:ascii="仿宋_GB2312" w:hAnsi="宋体" w:eastAsia="仿宋_GB2312" w:cs="宋体"/>
          <w:sz w:val="32"/>
          <w:szCs w:val="32"/>
        </w:rPr>
      </w:pPr>
      <w:r>
        <w:rPr>
          <w:rFonts w:hint="eastAsia" w:ascii="仿宋_GB2312" w:hAnsi="宋体" w:eastAsia="仿宋_GB2312" w:cs="宋体"/>
          <w:sz w:val="32"/>
          <w:szCs w:val="32"/>
        </w:rPr>
        <w:t>（3）连续15天城市供水保障率小于或等于85%。</w:t>
      </w:r>
    </w:p>
    <w:p w14:paraId="51DCDC3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（4）其他专项预案中需要启动抗旱Ⅱ级响应的情况。</w:t>
      </w:r>
    </w:p>
    <w:p w14:paraId="2D3BC7FD">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06" w:name="_Toc107596688"/>
      <w:bookmarkStart w:id="307" w:name="_Toc8461"/>
      <w:bookmarkStart w:id="308" w:name="_Toc9748"/>
      <w:bookmarkStart w:id="309" w:name="_Toc15163"/>
      <w:bookmarkStart w:id="310" w:name="_Toc23109"/>
      <w:bookmarkStart w:id="311" w:name="_Toc27673"/>
      <w:r>
        <w:rPr>
          <w:rFonts w:hint="eastAsia" w:ascii="仿宋_GB2312" w:hAnsi="仿宋_GB2312" w:eastAsia="仿宋_GB2312" w:cs="仿宋_GB2312"/>
          <w:b w:val="0"/>
          <w:bCs/>
        </w:rPr>
        <w:t>4.4.4 Ⅰ级应急响应</w:t>
      </w:r>
      <w:bookmarkEnd w:id="306"/>
      <w:bookmarkEnd w:id="307"/>
      <w:bookmarkEnd w:id="308"/>
      <w:bookmarkEnd w:id="309"/>
      <w:bookmarkEnd w:id="310"/>
      <w:bookmarkEnd w:id="311"/>
    </w:p>
    <w:p w14:paraId="0673909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出现下列条件之一，旗防指经综合会商研判后，启动全旗或局部Ⅰ级响应。</w:t>
      </w:r>
    </w:p>
    <w:p w14:paraId="75B978E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（一）防汛Ⅰ级应急响应启动条件</w:t>
      </w:r>
    </w:p>
    <w:p w14:paraId="347A1A7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（1）气象、水利、自然资源等部门发布暴雨、洪水、地质灾害红色预警信号，旗防指已启动预警响应。</w:t>
      </w:r>
    </w:p>
    <w:p w14:paraId="5E3EB64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（2）流域（区域）性河湖、防洪工程、水库大坝发生特别重大险情，多处区域性骨干防洪工程、主要防洪河道重要河段堤防发生决口，大中型水库、重点小型水库出现垮坝，严重威胁人民生命财产安全。</w:t>
      </w:r>
    </w:p>
    <w:p w14:paraId="2381E03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（3）500平方公里规模以上主要防洪河道的重要河段出现超标准洪水。</w:t>
      </w:r>
    </w:p>
    <w:p w14:paraId="6A83AA33">
      <w:pPr>
        <w:widowControl/>
        <w:numPr>
          <w:ilvl w:val="0"/>
          <w:numId w:val="4"/>
        </w:num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发生全旗性严重洪涝灾害。</w:t>
      </w:r>
    </w:p>
    <w:p w14:paraId="38D4BB26">
      <w:pPr>
        <w:widowControl/>
        <w:numPr>
          <w:ilvl w:val="255"/>
          <w:numId w:val="0"/>
        </w:numPr>
        <w:adjustRightInd w:val="0"/>
        <w:snapToGrid w:val="0"/>
        <w:ind w:firstLine="640" w:firstLineChars="200"/>
        <w:rPr>
          <w:rFonts w:ascii="仿宋_GB2312" w:hAnsi="宋体" w:eastAsia="仿宋_GB2312"/>
          <w:sz w:val="32"/>
          <w:szCs w:val="32"/>
        </w:rPr>
      </w:pPr>
      <w:r>
        <w:rPr>
          <w:rFonts w:hint="eastAsia" w:ascii="仿宋_GB2312" w:hAnsi="宋体" w:eastAsia="仿宋_GB2312"/>
          <w:sz w:val="32"/>
          <w:szCs w:val="32"/>
        </w:rPr>
        <w:t>（5）自治区防指和市防指发布与克旗有关的防汛应急响应。</w:t>
      </w:r>
    </w:p>
    <w:p w14:paraId="287EFB09">
      <w:pPr>
        <w:pStyle w:val="29"/>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（二）抗旱Ⅰ级应急响应启动条件</w:t>
      </w:r>
    </w:p>
    <w:p w14:paraId="6BBA100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（1）经棚镇城区干旱缺水率超过25%，或四个以上苏木乡镇（街道）所在地发生供水危机。</w:t>
      </w:r>
    </w:p>
    <w:p w14:paraId="276E28D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（2）全旗农作物受旱面积超过耕地面积80%，同时重旱面积超过耕地面积30%；或草牧场受旱面积超过草场面积80%，同时重旱面积超过草场面积30%。</w:t>
      </w:r>
    </w:p>
    <w:p w14:paraId="5DEBB69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（3）因旱造成农村牧区临时性饮水困难人口占总人口数的30%以上。</w:t>
      </w:r>
    </w:p>
    <w:p w14:paraId="122D6AE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12" w:name="_Toc14344"/>
      <w:bookmarkStart w:id="313" w:name="_Toc27900"/>
      <w:r>
        <w:rPr>
          <w:rFonts w:hint="eastAsia" w:ascii="仿宋_GB2312" w:hAnsi="仿宋_GB2312" w:eastAsia="仿宋_GB2312" w:cs="仿宋_GB2312"/>
          <w:b w:val="0"/>
          <w:bCs/>
        </w:rPr>
        <w:t>4.4.5 应急响应结束</w:t>
      </w:r>
      <w:bookmarkEnd w:id="312"/>
      <w:bookmarkEnd w:id="313"/>
    </w:p>
    <w:p w14:paraId="4A3BB0A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旱灾害灾情得到明显缓解、险情解除或严重程度不满足该等级应急响应启动条件时，由旗防办适时提出结束该等级应急响应或降低应急响应等级的建议报旗防指，经启动该应急响应的领导签发批准后，向社会公布。</w:t>
      </w:r>
    </w:p>
    <w:p w14:paraId="553235D1">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314" w:name="_Toc107596689"/>
      <w:bookmarkStart w:id="315" w:name="_Toc20504"/>
      <w:bookmarkStart w:id="316" w:name="_Toc5635"/>
      <w:bookmarkStart w:id="317" w:name="_Toc26544"/>
      <w:bookmarkStart w:id="318" w:name="_Toc8161"/>
      <w:bookmarkStart w:id="319" w:name="_Toc5203"/>
      <w:r>
        <w:rPr>
          <w:rFonts w:hint="eastAsia" w:ascii="仿宋_GB2312" w:hAnsi="仿宋_GB2312" w:eastAsia="仿宋_GB2312" w:cs="仿宋_GB2312"/>
        </w:rPr>
        <w:t>4.5应急响应行动</w:t>
      </w:r>
      <w:bookmarkEnd w:id="314"/>
      <w:bookmarkEnd w:id="315"/>
      <w:bookmarkEnd w:id="316"/>
      <w:bookmarkEnd w:id="317"/>
      <w:bookmarkEnd w:id="318"/>
      <w:bookmarkEnd w:id="319"/>
    </w:p>
    <w:p w14:paraId="021CFBBC">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20" w:name="_Toc13850"/>
      <w:bookmarkStart w:id="321" w:name="_Toc18126"/>
      <w:bookmarkStart w:id="322" w:name="_Toc31087"/>
      <w:bookmarkStart w:id="323" w:name="_Toc18260"/>
      <w:bookmarkStart w:id="324" w:name="_Toc107596690"/>
      <w:bookmarkStart w:id="325" w:name="_Toc462"/>
      <w:r>
        <w:rPr>
          <w:rFonts w:hint="eastAsia" w:ascii="仿宋_GB2312" w:hAnsi="仿宋_GB2312" w:eastAsia="仿宋_GB2312" w:cs="仿宋_GB2312"/>
          <w:b w:val="0"/>
          <w:bCs/>
        </w:rPr>
        <w:t>4.5.1 Ⅳ级应急响应行动</w:t>
      </w:r>
      <w:bookmarkEnd w:id="320"/>
      <w:bookmarkEnd w:id="321"/>
      <w:bookmarkEnd w:id="322"/>
      <w:bookmarkEnd w:id="323"/>
      <w:bookmarkEnd w:id="324"/>
      <w:bookmarkEnd w:id="325"/>
    </w:p>
    <w:p w14:paraId="1CE7153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（一）旗防办主任主持会商，应急管理、气象、水利、水文等主要成员单位参加，研究分析汛情、旱情演进和影响情况，</w:t>
      </w:r>
      <w:r>
        <w:rPr>
          <w:rFonts w:hint="eastAsia" w:ascii="仿宋_GB2312" w:hAnsi="宋体" w:eastAsia="仿宋_GB2312"/>
          <w:sz w:val="32"/>
          <w:szCs w:val="32"/>
          <w:lang w:eastAsia="zh-CN"/>
        </w:rPr>
        <w:t>做出</w:t>
      </w:r>
      <w:r>
        <w:rPr>
          <w:rFonts w:hint="eastAsia" w:ascii="仿宋_GB2312" w:hAnsi="宋体" w:eastAsia="仿宋_GB2312"/>
          <w:sz w:val="32"/>
          <w:szCs w:val="32"/>
        </w:rPr>
        <w:t>相应工作安排。视情连线有关苏木乡镇（街道）防指进行提示提醒。</w:t>
      </w:r>
    </w:p>
    <w:p w14:paraId="5B71E9D7">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（二）旗防办实行24小时防汛值班和领导带班，密切监视汛情、旱情、灾情变化。</w:t>
      </w:r>
    </w:p>
    <w:p w14:paraId="14AEA5A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（三）旗防指各成员单位按照职能分工做好相关工作，按要求向旗防办报告工作动态。</w:t>
      </w:r>
    </w:p>
    <w:p w14:paraId="1C00E3F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（四）事发地苏木乡镇（街道）防指按要求向旗防办报告工作动态，突发灾情、险情及时报告。</w:t>
      </w:r>
    </w:p>
    <w:p w14:paraId="171A0D85">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26" w:name="_Toc11080"/>
      <w:bookmarkStart w:id="327" w:name="_Toc3021"/>
      <w:bookmarkStart w:id="328" w:name="_Toc107596691"/>
      <w:bookmarkStart w:id="329" w:name="_Toc22234"/>
      <w:bookmarkStart w:id="330" w:name="_Toc32395"/>
      <w:bookmarkStart w:id="331" w:name="_Toc7691"/>
      <w:r>
        <w:rPr>
          <w:rFonts w:hint="eastAsia" w:ascii="仿宋_GB2312" w:hAnsi="仿宋_GB2312" w:eastAsia="仿宋_GB2312" w:cs="仿宋_GB2312"/>
          <w:b w:val="0"/>
          <w:bCs/>
        </w:rPr>
        <w:t>4.5.2 Ⅲ级应急响应行动</w:t>
      </w:r>
      <w:bookmarkEnd w:id="326"/>
      <w:bookmarkEnd w:id="327"/>
      <w:bookmarkEnd w:id="328"/>
      <w:bookmarkEnd w:id="329"/>
      <w:bookmarkEnd w:id="330"/>
      <w:bookmarkEnd w:id="331"/>
    </w:p>
    <w:p w14:paraId="51F51CB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旗防指副指挥长或旗防办主任主持会商，应急管理、气象、水利、水文、自然资源、住房和城乡建设、城市管理综合执法等成员单位参加，分析研判汛情、旱情、灾情影响范围和演进情势，部署防汛抗旱工作，明确工作目标和重点，发布人员准备转移命令。重要情况及时上报旗委、旗政府和市防指。视情连线有关苏木乡镇（街道）防指进行动员部署。</w:t>
      </w:r>
    </w:p>
    <w:p w14:paraId="1070D0A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（二）旗防指实行领导上岗带班，旗防办实行24小时防汛值班和领导带班。密切监视汛情、旱情、灾情变化，做好抢险物资队伍准备，视情向事发地派出工作组、专家组，指导防汛抗旱工作。</w:t>
      </w:r>
    </w:p>
    <w:p w14:paraId="6B845AC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（三）旗防指成员单位按照职能分工做好相关工作，按要求向旗防办报告工作动态。</w:t>
      </w:r>
    </w:p>
    <w:p w14:paraId="22788DE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（四）事发地苏木乡镇（街道）防指按要求向旗防办报告水旱灾害发展态势及工作动态，突发灾情、险情随时报告。</w:t>
      </w:r>
    </w:p>
    <w:p w14:paraId="23E0E523">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32" w:name="_Toc24014"/>
      <w:bookmarkStart w:id="333" w:name="_Toc12390"/>
      <w:bookmarkStart w:id="334" w:name="_Toc28188"/>
      <w:bookmarkStart w:id="335" w:name="_Toc107596692"/>
      <w:bookmarkStart w:id="336" w:name="_Toc11412"/>
      <w:bookmarkStart w:id="337" w:name="_Toc6091"/>
      <w:r>
        <w:rPr>
          <w:rFonts w:hint="eastAsia" w:ascii="仿宋_GB2312" w:hAnsi="仿宋_GB2312" w:eastAsia="仿宋_GB2312" w:cs="仿宋_GB2312"/>
          <w:b w:val="0"/>
          <w:bCs/>
        </w:rPr>
        <w:t>4.5.3 Ⅱ级应急响应行动</w:t>
      </w:r>
      <w:bookmarkEnd w:id="332"/>
      <w:bookmarkEnd w:id="333"/>
      <w:bookmarkEnd w:id="334"/>
      <w:bookmarkEnd w:id="335"/>
      <w:bookmarkEnd w:id="336"/>
      <w:bookmarkEnd w:id="337"/>
    </w:p>
    <w:p w14:paraId="681BEDC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旗防指指挥长或委托常务副指挥长主持会商，旗防指有关成员单位参加，分析研判汛情、旱情、灾情发展态势，部署防汛工作，明确工作目标、重点和措施，并将情况报旗委、旗政府和市防指。视情连线有关旗县防指进行联防联动和统一动员部署。</w:t>
      </w:r>
    </w:p>
    <w:p w14:paraId="0D00465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旗防指和有关成员单位实行领导在岗带班，旗防办实行24小时“领导带班+加强型值班+应急备班”防汛值班。密切监视汛情、险情、旱情、灾情变化，做好抢险物资和队伍准备，视情向事发地派工作组、专家组，指导防汛抗旱工作。对于因旱饮水困难地区，启动抗旱应急水源，组织抗旱服务队拉水送水，确保人民群众饮水安全。</w:t>
      </w:r>
    </w:p>
    <w:p w14:paraId="28D8BA7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（三）旗防指成员单位按照职能分工做好应急响应工作，按要求向旗防指报告工作动态。</w:t>
      </w:r>
    </w:p>
    <w:p w14:paraId="76FF761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（四）事发地苏木乡镇（街道）防指向旗防指报告水旱灾害发展态势及工作动态，突发灾情、险情及时报告。视汛情、险情、灾情发展，可依法宣布受影响区域进入紧急防汛期。</w:t>
      </w:r>
    </w:p>
    <w:p w14:paraId="3192462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（五）必要时提请市防指向灾害发生地派出市级工作组、专家组指导工作。</w:t>
      </w:r>
    </w:p>
    <w:p w14:paraId="6CCF283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（六）驻旗解放军、武警部队、消防救援队伍等视险情、灾情需要，及时启动抗洪抢险救灾应急响应，准备投入抗洪抢险救灾。</w:t>
      </w:r>
    </w:p>
    <w:p w14:paraId="0F71484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38" w:name="_Toc20942"/>
      <w:bookmarkStart w:id="339" w:name="_Toc22664"/>
      <w:bookmarkStart w:id="340" w:name="_Toc7359"/>
      <w:bookmarkStart w:id="341" w:name="_Toc10576"/>
      <w:r>
        <w:rPr>
          <w:rFonts w:hint="eastAsia" w:ascii="仿宋_GB2312" w:hAnsi="仿宋_GB2312" w:eastAsia="仿宋_GB2312" w:cs="仿宋_GB2312"/>
          <w:b w:val="0"/>
          <w:bCs/>
        </w:rPr>
        <w:t>4.5.4 Ⅰ级应急响应行动</w:t>
      </w:r>
      <w:bookmarkEnd w:id="338"/>
      <w:bookmarkEnd w:id="339"/>
      <w:bookmarkEnd w:id="340"/>
      <w:bookmarkEnd w:id="341"/>
    </w:p>
    <w:p w14:paraId="031B03D1">
      <w:p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旗防指指挥长主持会商，旗防指成员单位参加，分析研判汛情发展态势，提出工作目标，重点对策措施，部署防汛应急和抢险救灾工作，并将情况报旗委、旗政府、市防指和市政府。组织召开防汛应急会议，进行紧急动员部署。旗政府办公室发出紧急通知，要求全旗全力做好防汛工作。报经旗委、旗政府主要领导同意，宣布全旗或部分区域进入紧急防汛期。采取停工、停产、停业、停课、停运等措施，因特殊原因暂时不能停工停产的企业，要及时向旗防指报备，并做好应急防范措施。成立现场指挥部靠前指挥，向灾害发生地派驻工作组、专家组指导工作。</w:t>
      </w:r>
    </w:p>
    <w:p w14:paraId="6003BF80">
      <w:p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（二）旗防指指挥长坐镇指挥，旗防办密切监视汛情、旱情、灾情变化，做好抢险物资队伍准备。</w:t>
      </w:r>
    </w:p>
    <w:p w14:paraId="75A26D8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（三）旗防指各成员单位按照职能分工做好应急响应工作，按要求向旗防指报告工作动态。</w:t>
      </w:r>
    </w:p>
    <w:p w14:paraId="03A87D9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（四）事发地苏木乡镇（街道）防指按要求向旗防指报告水旱灾害发展态势及工作动态，突发灾情、险情及时报告。依法宣布本地进入紧急防汛期。</w:t>
      </w:r>
    </w:p>
    <w:p w14:paraId="6E40EF2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（五）驻旗解放军、武警部队、消防救援队伍等根据有关命令，及时投入抗洪抢险救灾。</w:t>
      </w:r>
    </w:p>
    <w:p w14:paraId="0E9E3FF0">
      <w:pPr>
        <w:widowControl/>
        <w:shd w:val="clear" w:color="auto" w:fill="FFFFFF"/>
        <w:adjustRightInd w:val="0"/>
        <w:snapToGrid w:val="0"/>
        <w:ind w:firstLine="643"/>
        <w:rPr>
          <w:rFonts w:ascii="仿宋_GB2312" w:hAnsi="宋体" w:eastAsia="仿宋_GB2312"/>
          <w:b/>
          <w:sz w:val="32"/>
          <w:szCs w:val="32"/>
        </w:rPr>
      </w:pPr>
      <w:r>
        <w:rPr>
          <w:rFonts w:hint="eastAsia" w:ascii="仿宋_GB2312" w:hAnsi="宋体" w:eastAsia="仿宋_GB2312"/>
          <w:b/>
          <w:sz w:val="32"/>
          <w:szCs w:val="32"/>
        </w:rPr>
        <w:t>防汛抗旱应急响应工作流程见附表2</w:t>
      </w:r>
    </w:p>
    <w:p w14:paraId="34D92895">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342" w:name="_Toc25228"/>
      <w:bookmarkStart w:id="343" w:name="_Toc107596693"/>
      <w:bookmarkStart w:id="344" w:name="_Toc17310"/>
      <w:bookmarkStart w:id="345" w:name="_Toc4291"/>
      <w:bookmarkStart w:id="346" w:name="_Toc16146"/>
      <w:bookmarkStart w:id="347" w:name="_Toc6992"/>
      <w:r>
        <w:rPr>
          <w:rFonts w:hint="eastAsia" w:ascii="仿宋_GB2312" w:hAnsi="仿宋_GB2312" w:eastAsia="仿宋_GB2312" w:cs="仿宋_GB2312"/>
        </w:rPr>
        <w:t>4.6 应急响应措施</w:t>
      </w:r>
      <w:bookmarkEnd w:id="342"/>
      <w:bookmarkEnd w:id="343"/>
      <w:bookmarkEnd w:id="344"/>
      <w:bookmarkEnd w:id="345"/>
      <w:bookmarkEnd w:id="346"/>
      <w:bookmarkEnd w:id="347"/>
    </w:p>
    <w:p w14:paraId="1C5A780A">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48" w:name="_Toc4733"/>
      <w:bookmarkStart w:id="349" w:name="_Toc107596694"/>
      <w:bookmarkStart w:id="350" w:name="_Toc4546"/>
      <w:bookmarkStart w:id="351" w:name="_Toc14458"/>
      <w:bookmarkStart w:id="352" w:name="_Toc25819"/>
      <w:bookmarkStart w:id="353" w:name="_Toc2548"/>
      <w:r>
        <w:rPr>
          <w:rFonts w:hint="eastAsia" w:ascii="仿宋_GB2312" w:hAnsi="仿宋_GB2312" w:eastAsia="仿宋_GB2312" w:cs="仿宋_GB2312"/>
          <w:b w:val="0"/>
          <w:bCs/>
        </w:rPr>
        <w:t>4.6.1 河湖库洪水</w:t>
      </w:r>
      <w:bookmarkEnd w:id="348"/>
      <w:bookmarkEnd w:id="349"/>
      <w:bookmarkEnd w:id="350"/>
      <w:bookmarkEnd w:id="351"/>
      <w:bookmarkEnd w:id="352"/>
      <w:bookmarkEnd w:id="353"/>
    </w:p>
    <w:p w14:paraId="5FD891C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（一）根据河湖库水情和洪水预报，有关部门按照规定的权限和防御洪水方案、洪水调度方案，适时调度水工程。</w:t>
      </w:r>
    </w:p>
    <w:p w14:paraId="3D122CF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（二）当启动河湖库洪水应急响应后，苏木乡镇（街道）应组织人员巡堤查险。</w:t>
      </w:r>
    </w:p>
    <w:p w14:paraId="03254706">
      <w:p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（三）当洪水位继续上涨，危及重点保护对象，或者预报洪水接近或超过设计水位时，在充分发挥现有工程体系防洪、泄洪能力的同时，苏木乡镇（街道）应做好抢险准备，提前组织危险区域人员转移避险。</w:t>
      </w:r>
    </w:p>
    <w:p w14:paraId="580B530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（四）根据洪水预报和批准的洪水调度方案，达到启用条件的重点水利设施，由旗防指或市防指决定是否启用。</w:t>
      </w:r>
    </w:p>
    <w:p w14:paraId="49A8FE1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（五）在宣布进入紧急防汛期后，旗各级防指依法行使相关权利、采取一切必要措施，保障抗洪抢险的顺利实施。</w:t>
      </w:r>
    </w:p>
    <w:p w14:paraId="19914AE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54" w:name="_Toc10156"/>
      <w:bookmarkStart w:id="355" w:name="_Toc29035"/>
      <w:bookmarkStart w:id="356" w:name="_Toc107596695"/>
      <w:bookmarkStart w:id="357" w:name="_Toc11709"/>
      <w:bookmarkStart w:id="358" w:name="_Toc10078"/>
      <w:bookmarkStart w:id="359" w:name="_Toc2028"/>
      <w:r>
        <w:rPr>
          <w:rFonts w:hint="eastAsia" w:ascii="仿宋_GB2312" w:hAnsi="仿宋_GB2312" w:eastAsia="仿宋_GB2312" w:cs="仿宋_GB2312"/>
          <w:b w:val="0"/>
          <w:bCs/>
        </w:rPr>
        <w:t>4.6.2 雨涝灾害</w:t>
      </w:r>
      <w:bookmarkEnd w:id="354"/>
      <w:bookmarkEnd w:id="355"/>
      <w:bookmarkEnd w:id="356"/>
      <w:bookmarkEnd w:id="357"/>
      <w:bookmarkEnd w:id="358"/>
      <w:bookmarkEnd w:id="359"/>
    </w:p>
    <w:p w14:paraId="3901EEB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（一）当出现雨涝灾害时，水利、住房和城乡建设、城市管理综合执法等部门应科学调度水利工程和移动排涝设备，开展自泄、自排和抽排，尽快排出涝水，恢复正常生产生活秩序。</w:t>
      </w:r>
    </w:p>
    <w:p w14:paraId="71B55DC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（二）在河湖库防汛形势紧张时，要统筹流域、区域与城市防洪需求，正确处理防洪与排涝的关系，避免因排涝而增加防汛的压力。</w:t>
      </w:r>
    </w:p>
    <w:p w14:paraId="28CEB7B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60" w:name="_Toc10406"/>
      <w:bookmarkStart w:id="361" w:name="_Toc29338"/>
      <w:bookmarkStart w:id="362" w:name="_Toc17116"/>
      <w:bookmarkStart w:id="363" w:name="_Toc107596696"/>
      <w:bookmarkStart w:id="364" w:name="_Toc25988"/>
      <w:bookmarkStart w:id="365" w:name="_Toc2606"/>
      <w:r>
        <w:rPr>
          <w:rFonts w:hint="eastAsia" w:ascii="仿宋_GB2312" w:hAnsi="仿宋_GB2312" w:eastAsia="仿宋_GB2312" w:cs="仿宋_GB2312"/>
          <w:b w:val="0"/>
          <w:bCs/>
        </w:rPr>
        <w:t>4.6.3 山洪灾害</w:t>
      </w:r>
      <w:bookmarkEnd w:id="360"/>
      <w:bookmarkEnd w:id="361"/>
      <w:bookmarkEnd w:id="362"/>
      <w:bookmarkEnd w:id="363"/>
      <w:bookmarkEnd w:id="364"/>
      <w:bookmarkEnd w:id="365"/>
    </w:p>
    <w:p w14:paraId="282F4D3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（一）当发生山洪灾害时，旗防指应组织水利、自然资源、应急管理、住房和城乡建设、生态环境等部门的专业人员，及时赶赴现场，加强观测，采取应急措施，以减少损失。</w:t>
      </w:r>
    </w:p>
    <w:p w14:paraId="7D05838A">
      <w:p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（二）视山洪灾害易发区降雨量、山体变形滑动趋势，苏木乡镇（街道）应启动《强降雨期间山丘区人员转移避险工作方案》（附件7）及时组织人员本着就近、迅速、安全、有序的原则撤离。</w:t>
      </w:r>
    </w:p>
    <w:p w14:paraId="73D7E445">
      <w:pPr>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（三）发生山洪灾害后，若造成人员伤亡，苏木乡镇（街道）应立即组织人员或抢险突击队紧急抢救，必要时向驻旗解放军、武警部队、消防救援队伍和旗防指、旗政府请求救援。</w:t>
      </w:r>
    </w:p>
    <w:p w14:paraId="49EE0FE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66" w:name="_Toc11050"/>
      <w:bookmarkStart w:id="367" w:name="_Toc3191"/>
      <w:bookmarkStart w:id="368" w:name="_Toc422"/>
      <w:r>
        <w:rPr>
          <w:rFonts w:hint="eastAsia" w:ascii="仿宋_GB2312" w:hAnsi="仿宋_GB2312" w:eastAsia="仿宋_GB2312" w:cs="仿宋_GB2312"/>
          <w:b w:val="0"/>
          <w:bCs/>
        </w:rPr>
        <w:t>4.6.4 超强台风灾害</w:t>
      </w:r>
      <w:bookmarkEnd w:id="366"/>
      <w:bookmarkEnd w:id="367"/>
      <w:bookmarkEnd w:id="368"/>
    </w:p>
    <w:p w14:paraId="1FA5442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（一）旗防指应组织气象、水利、自然资源等部门密切监视台风动态，及时发布台风预警，报旗人民政府及旗防指，并及时向社会公众发布预警信息。</w:t>
      </w:r>
    </w:p>
    <w:p w14:paraId="564F62F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（二）台风可能经过的各苏木乡镇（街道）、文化和旅游部门应关闭旅游景区、组织力量加强巡查、组织各类危险区域人员安全转移。</w:t>
      </w:r>
    </w:p>
    <w:p w14:paraId="5E82D7A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（三）必要时，旗政府应采取停工、停课、停市、停运和封闭交通道路等措施。督促对病险水利工程进行抢护或采取预降河湖库水位等紧急处置措施。</w:t>
      </w:r>
    </w:p>
    <w:p w14:paraId="2FCD7DED">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69" w:name="_Toc28341"/>
      <w:bookmarkStart w:id="370" w:name="_Toc25759"/>
      <w:bookmarkStart w:id="371" w:name="_Toc8144"/>
      <w:r>
        <w:rPr>
          <w:rFonts w:hint="eastAsia" w:ascii="仿宋_GB2312" w:hAnsi="仿宋_GB2312" w:eastAsia="仿宋_GB2312" w:cs="仿宋_GB2312"/>
          <w:b w:val="0"/>
          <w:bCs/>
        </w:rPr>
        <w:t>4.6.5 堤防决口、水闸垮塌、水库垮坝</w:t>
      </w:r>
      <w:bookmarkEnd w:id="369"/>
      <w:bookmarkEnd w:id="370"/>
      <w:bookmarkEnd w:id="371"/>
    </w:p>
    <w:p w14:paraId="0BD852D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当出现堤防决口、水闸垮塌、水库垮坝前期征兆时，苏木乡镇（街道）要迅速调集人力、物力全力组织抢险，尽可能控制险情，并及时向下游发出警报。河湖堤防决口、水闸垮塌和水库垮坝等事件应立即报告旗防指。</w:t>
      </w:r>
    </w:p>
    <w:p w14:paraId="1CA7E2B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（二）当出现堤防决口、水闸垮塌、水库垮坝前期征兆时，苏木乡镇（街道）应迅速组织受影响群众转移，并视情况抢筑二道防线，控制洪水影响范围，尽可能减少灾害损失。</w:t>
      </w:r>
    </w:p>
    <w:p w14:paraId="0ED5C25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当发生堤防决口、水闸垮塌、水库垮坝后，苏木乡镇（街道）应立即启动堵口、抢护应急预案，组织实施堵口。旗防指派出专家组会同水利局提供抢险技术支撑，科学调度流域内各水利工程，为实施堵口创造条件；应急管理局负责协调应急抢险队伍参与抢险，协调队伍、物资支援抢险。</w:t>
      </w:r>
    </w:p>
    <w:p w14:paraId="77FC4C9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72" w:name="_Toc660"/>
      <w:bookmarkStart w:id="373" w:name="_Toc22172"/>
      <w:bookmarkStart w:id="374" w:name="_Toc107596697"/>
      <w:bookmarkStart w:id="375" w:name="_Toc14594"/>
      <w:bookmarkStart w:id="376" w:name="_Toc5633"/>
      <w:bookmarkStart w:id="377" w:name="_Toc25283"/>
      <w:r>
        <w:rPr>
          <w:rFonts w:hint="eastAsia" w:ascii="仿宋_GB2312" w:hAnsi="仿宋_GB2312" w:eastAsia="仿宋_GB2312" w:cs="仿宋_GB2312"/>
          <w:b w:val="0"/>
          <w:bCs/>
        </w:rPr>
        <w:t>4.6.6 中心城区突发极端暴雨、超标准洪水</w:t>
      </w:r>
      <w:bookmarkEnd w:id="372"/>
      <w:bookmarkEnd w:id="373"/>
      <w:bookmarkEnd w:id="374"/>
      <w:bookmarkEnd w:id="375"/>
      <w:bookmarkEnd w:id="376"/>
      <w:bookmarkEnd w:id="377"/>
    </w:p>
    <w:p w14:paraId="76948C7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（一）旗防办应组织气象、水利、自然资源、住房和城乡建设、城市综合执法等部门密切监视极端天气，及时发布极端天气、超标准洪水预警，报旗防指和旗政府，并及时向社会公众发布预警信息。</w:t>
      </w:r>
    </w:p>
    <w:p w14:paraId="77C2692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（二）中心城区有关苏木乡镇（街道）、文化和旅游部门应关闭旅游景区、组织力量加强巡查、组织各类危险区域人员安全转移。</w:t>
      </w:r>
    </w:p>
    <w:p w14:paraId="085F8B0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（三）必要时，旗政府应采取停工、停课、停市、停运和封闭交通道路等管制措施。</w:t>
      </w:r>
    </w:p>
    <w:p w14:paraId="09A0DEDB">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78" w:name="_Toc13484"/>
      <w:bookmarkStart w:id="379" w:name="_Toc31491"/>
      <w:bookmarkStart w:id="380" w:name="_Toc30083"/>
      <w:r>
        <w:rPr>
          <w:rFonts w:hint="eastAsia" w:ascii="仿宋_GB2312" w:hAnsi="仿宋_GB2312" w:eastAsia="仿宋_GB2312" w:cs="仿宋_GB2312"/>
          <w:b w:val="0"/>
          <w:bCs/>
        </w:rPr>
        <w:t>4.6.7 抗旱措施</w:t>
      </w:r>
      <w:bookmarkEnd w:id="378"/>
      <w:bookmarkEnd w:id="379"/>
      <w:bookmarkEnd w:id="380"/>
    </w:p>
    <w:p w14:paraId="08A8DDE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旗防指根据实际情况，按特大、严重、中度、轻度4个干旱等级，制定相应的应急抗旱措施，并负责组织抗旱工作。</w:t>
      </w:r>
    </w:p>
    <w:p w14:paraId="3EDB7B9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（一）特大干旱</w:t>
      </w:r>
    </w:p>
    <w:p w14:paraId="3B8BA2A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旗防指强化抗旱工作的统一指挥和组织协调，加强会商，密切掌握旱情灾情发展变化趋势及抗旱工作情况。确保因旱饮水困难群众居民生活用水安全，水利、住房和城市建设等部门多措并举，采取拉水、送水、打配应急机电井、开动抗旱应急备用水源、临时限制高耗水企业用水、限时供水等方式满足基本生活用水需求，维护灾区社会稳定。</w:t>
      </w:r>
    </w:p>
    <w:p w14:paraId="2D5BF65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（2）气象、水文、水利、农牧业、林草等有关部门要加大监测和上报频次，及时向旗防办报告旱情、灾情及抗旱工作；供水管理部门要及时向防指提供供水、用水信息；</w:t>
      </w:r>
    </w:p>
    <w:p w14:paraId="162176B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（3）及时动员社会各方面力量支援抗旱救灾工作。</w:t>
      </w:r>
    </w:p>
    <w:p w14:paraId="30BB5B7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（二）严重干旱</w:t>
      </w:r>
    </w:p>
    <w:p w14:paraId="713A226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（1）气象、水文、水利、农牧业、林草等有关部门加强旱情监测和分析预报工作，加密上报频次，及时向旗防办报送旱情信息和抗旱情况。</w:t>
      </w:r>
    </w:p>
    <w:p w14:paraId="30BEF8E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（2）旗防指要加强会商，分析研判旱情发展变化趋势，及时分析预测水量供求变化形势，水利、住房和城市建设部门加强应急水源和城镇供水的统一调度，必要时采取限水措施，确保城乡人民群众饮水安全。</w:t>
      </w:r>
    </w:p>
    <w:p w14:paraId="51FF518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（3）督促防指各成员单位落实抗旱职责，确保各项工作顺利进行。</w:t>
      </w:r>
    </w:p>
    <w:p w14:paraId="500312F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（三）中度干旱</w:t>
      </w:r>
    </w:p>
    <w:p w14:paraId="359C75E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（1）气象、水文部门要加强天气预报和土壤墒情监测，密切注视旱情的发展趋势，水利、农牧业、林草等部门及时向旗防办报告旱情信息和抗旱情况。</w:t>
      </w:r>
    </w:p>
    <w:p w14:paraId="3397D14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（2）旗防指及时组织抗旱会商，研究部署抗旱工作。</w:t>
      </w:r>
    </w:p>
    <w:p w14:paraId="54D0A05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（3）水利、住房和城市建设部门做好应急水源调度和用水量统计，统筹好生产生活用水。</w:t>
      </w:r>
    </w:p>
    <w:p w14:paraId="2121631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（四）轻度干旱</w:t>
      </w:r>
    </w:p>
    <w:p w14:paraId="6D3D9E3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（1）气象、水文、水利、农牧业、林草等部门做好旱情监测、预报和旱情统计上报工作。</w:t>
      </w:r>
    </w:p>
    <w:p w14:paraId="7B1F4CD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（2）旗防办及时掌握旱情变化情况，分析了解社会各方面的用水需求。</w:t>
      </w:r>
    </w:p>
    <w:p w14:paraId="29904E5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（3）水利、住房和</w:t>
      </w:r>
      <w:r>
        <w:rPr>
          <w:rFonts w:hint="eastAsia" w:ascii="仿宋_GB2312" w:hAnsi="宋体" w:eastAsia="仿宋_GB2312"/>
          <w:sz w:val="32"/>
          <w:szCs w:val="32"/>
          <w:lang w:val="en-US" w:eastAsia="zh-CN"/>
        </w:rPr>
        <w:t>城乡</w:t>
      </w:r>
      <w:r>
        <w:rPr>
          <w:rFonts w:hint="eastAsia" w:ascii="仿宋_GB2312" w:hAnsi="宋体" w:eastAsia="仿宋_GB2312"/>
          <w:sz w:val="32"/>
          <w:szCs w:val="32"/>
        </w:rPr>
        <w:t>建设部门做好城乡抗旱应急水源的管理调度工作。</w:t>
      </w:r>
    </w:p>
    <w:p w14:paraId="20F6E642">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381" w:name="_Toc107596698"/>
      <w:bookmarkStart w:id="382" w:name="_Toc24357"/>
      <w:bookmarkStart w:id="383" w:name="_Toc31409"/>
      <w:bookmarkStart w:id="384" w:name="_Toc4611"/>
      <w:bookmarkStart w:id="385" w:name="_Toc29488"/>
      <w:bookmarkStart w:id="386" w:name="_Toc11695"/>
      <w:r>
        <w:rPr>
          <w:rFonts w:hint="eastAsia" w:ascii="仿宋_GB2312" w:hAnsi="仿宋_GB2312" w:eastAsia="仿宋_GB2312" w:cs="仿宋_GB2312"/>
        </w:rPr>
        <w:t>4.7 应急响应信息报告和发布</w:t>
      </w:r>
      <w:bookmarkEnd w:id="381"/>
      <w:bookmarkEnd w:id="382"/>
      <w:bookmarkEnd w:id="383"/>
      <w:bookmarkEnd w:id="384"/>
      <w:bookmarkEnd w:id="385"/>
      <w:bookmarkEnd w:id="386"/>
    </w:p>
    <w:p w14:paraId="0A8B3648">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87" w:name="_Toc7437"/>
      <w:bookmarkStart w:id="388" w:name="_Toc28092"/>
      <w:bookmarkStart w:id="389" w:name="_Toc22286"/>
      <w:bookmarkStart w:id="390" w:name="_Toc107596699"/>
      <w:bookmarkStart w:id="391" w:name="_Toc9828"/>
      <w:bookmarkStart w:id="392" w:name="_Toc6601"/>
      <w:r>
        <w:rPr>
          <w:rFonts w:hint="eastAsia" w:ascii="仿宋_GB2312" w:hAnsi="仿宋_GB2312" w:eastAsia="仿宋_GB2312" w:cs="仿宋_GB2312"/>
          <w:b w:val="0"/>
          <w:bCs/>
        </w:rPr>
        <w:t>4.7.1 信息报告</w:t>
      </w:r>
      <w:bookmarkEnd w:id="387"/>
      <w:bookmarkEnd w:id="388"/>
      <w:bookmarkEnd w:id="389"/>
      <w:bookmarkEnd w:id="390"/>
      <w:bookmarkEnd w:id="391"/>
      <w:bookmarkEnd w:id="392"/>
    </w:p>
    <w:p w14:paraId="6EB13C8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（一）汛情、险情、工情、旱情、灾情等防汛抗旱信息实行分级上报，归口处理，同级共享。</w:t>
      </w:r>
    </w:p>
    <w:p w14:paraId="4CD7FC6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险情、灾情发生后，各级防指、职能部门和责任单位要按照相关预案和报告制度的规定，在组织抢险救援的同时，及时汇总相关信息并迅速报告。一旦发生重大险情、灾情，必须在接报后半小时内向旗防办口头报告，在1小时内向旗防办书面报告。</w:t>
      </w:r>
    </w:p>
    <w:p w14:paraId="2D9E130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（三）旗防办接报后，要在第一时间做好处置准备，视情报告旗防指指挥长，并按照相关预案和报告制度的规定报告旗委、旗政府、市防指。</w:t>
      </w:r>
    </w:p>
    <w:p w14:paraId="61EC876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各级防指、职能部门、相关单位要与毗邻区域加强协作，建立突发险情、灾情等信息通报、协调渠道。一旦出现突发险情、灾情影响范围超出本行政区域的态势，要根据应急处置工作的需要，及时通报、联系和协调。</w:t>
      </w:r>
    </w:p>
    <w:p w14:paraId="5FBD0108">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393" w:name="_Toc107596700"/>
      <w:bookmarkStart w:id="394" w:name="_Toc6844"/>
      <w:bookmarkStart w:id="395" w:name="_Toc31141"/>
      <w:bookmarkStart w:id="396" w:name="_Toc16761"/>
      <w:bookmarkStart w:id="397" w:name="_Toc29458"/>
      <w:bookmarkStart w:id="398" w:name="_Toc29598"/>
      <w:r>
        <w:rPr>
          <w:rFonts w:hint="eastAsia" w:ascii="仿宋_GB2312" w:hAnsi="仿宋_GB2312" w:eastAsia="仿宋_GB2312" w:cs="仿宋_GB2312"/>
          <w:b w:val="0"/>
          <w:bCs/>
        </w:rPr>
        <w:t>4.7.2 信息发布</w:t>
      </w:r>
      <w:bookmarkEnd w:id="393"/>
      <w:bookmarkEnd w:id="394"/>
      <w:bookmarkEnd w:id="395"/>
      <w:bookmarkEnd w:id="396"/>
      <w:bookmarkEnd w:id="397"/>
      <w:bookmarkEnd w:id="398"/>
    </w:p>
    <w:p w14:paraId="716F2631">
      <w:pPr>
        <w:shd w:val="clear" w:color="auto" w:fill="FFFFFF"/>
        <w:adjustRightInd w:val="0"/>
        <w:snapToGrid w:val="0"/>
        <w:ind w:firstLine="640"/>
        <w:rPr>
          <w:rFonts w:ascii="仿宋_GB2312" w:hAnsi="宋体" w:eastAsia="仿宋_GB2312"/>
          <w:sz w:val="32"/>
          <w:szCs w:val="32"/>
        </w:rPr>
      </w:pPr>
      <w:bookmarkStart w:id="399" w:name="_Toc13762"/>
      <w:bookmarkStart w:id="400" w:name="_Toc107596701"/>
      <w:bookmarkStart w:id="401" w:name="_Toc25155"/>
      <w:r>
        <w:rPr>
          <w:rFonts w:hint="eastAsia" w:ascii="仿宋_GB2312" w:hAnsi="宋体" w:eastAsia="仿宋_GB2312"/>
          <w:sz w:val="32"/>
          <w:szCs w:val="32"/>
        </w:rPr>
        <w:t>（一）防汛抗旱应急信息的发布应当及时、准确、客观、全面。</w:t>
      </w:r>
      <w:bookmarkEnd w:id="399"/>
      <w:bookmarkEnd w:id="400"/>
      <w:bookmarkEnd w:id="401"/>
    </w:p>
    <w:p w14:paraId="1F6B12E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（二）旗防办统一审核和发布防汛抗旱应急信息。 </w:t>
      </w:r>
      <w:bookmarkEnd w:id="60"/>
    </w:p>
    <w:p w14:paraId="123EB63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（三）信息发布形式主要包括授权发布、播发新闻稿、组织报道、接受记者采访、举行新闻发布会等。</w:t>
      </w:r>
    </w:p>
    <w:p w14:paraId="7FFF428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（四）苏木乡镇（街道）如需发布防汛应急动态，由本级防指审核和发布。</w:t>
      </w:r>
    </w:p>
    <w:p w14:paraId="09321E5C">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02" w:name="_Toc8860"/>
      <w:bookmarkStart w:id="403" w:name="_Toc559"/>
      <w:bookmarkStart w:id="404" w:name="_Toc107596702"/>
      <w:bookmarkStart w:id="405" w:name="_Toc15385"/>
      <w:bookmarkStart w:id="406" w:name="_Toc31221"/>
      <w:bookmarkStart w:id="407" w:name="_Toc4346"/>
      <w:r>
        <w:rPr>
          <w:rFonts w:hint="eastAsia" w:ascii="仿宋_GB2312" w:hAnsi="仿宋_GB2312" w:eastAsia="仿宋_GB2312" w:cs="仿宋_GB2312"/>
        </w:rPr>
        <w:t>4.8 社会动员和参与</w:t>
      </w:r>
      <w:bookmarkEnd w:id="402"/>
      <w:bookmarkEnd w:id="403"/>
      <w:bookmarkEnd w:id="404"/>
      <w:bookmarkEnd w:id="405"/>
      <w:bookmarkEnd w:id="406"/>
      <w:bookmarkEnd w:id="407"/>
    </w:p>
    <w:p w14:paraId="18000FF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出现洪涝灾害后，事发地的苏木乡镇（街道）防指可根据事件的性质和危害程度报经旗防指批准，对重点地区和重点部位实施紧急管控，防止事态及其危害的进一步扩大。必要时苏木乡镇（街道）可广泛调动社会力量积极参与应急突发事件的处置，紧急情况下可依法征用、调用车辆、物资、人员等，全力投入抗洪抢险。</w:t>
      </w:r>
    </w:p>
    <w:p w14:paraId="3757CE8C">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408" w:name="_Toc5465"/>
      <w:bookmarkStart w:id="409" w:name="_Toc13994"/>
      <w:bookmarkStart w:id="410" w:name="_Toc107596703"/>
      <w:bookmarkStart w:id="411" w:name="_Toc22571"/>
      <w:bookmarkStart w:id="412" w:name="_Toc23574"/>
      <w:bookmarkStart w:id="413" w:name="_Toc11853"/>
      <w:r>
        <w:rPr>
          <w:rFonts w:hint="eastAsia" w:ascii="仿宋_GB2312" w:hAnsi="仿宋_GB2312" w:eastAsia="仿宋_GB2312" w:cs="仿宋_GB2312"/>
          <w:b w:val="0"/>
          <w:bCs/>
        </w:rPr>
        <w:t>4.8.1 联防联控</w:t>
      </w:r>
      <w:bookmarkEnd w:id="408"/>
      <w:bookmarkEnd w:id="409"/>
      <w:bookmarkEnd w:id="410"/>
      <w:bookmarkEnd w:id="411"/>
      <w:bookmarkEnd w:id="412"/>
      <w:bookmarkEnd w:id="413"/>
    </w:p>
    <w:p w14:paraId="01676BF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旗防指为应对突发极端天气和超标准洪水，建立旗各部门、各苏木乡镇（街道）、各企事业单位联防联控工作机制，协同作战、共同抗御洪涝灾害。</w:t>
      </w:r>
    </w:p>
    <w:p w14:paraId="2C27BE0E">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414" w:name="_Toc16313"/>
      <w:bookmarkStart w:id="415" w:name="_Toc19463"/>
      <w:bookmarkStart w:id="416" w:name="_Toc107596704"/>
      <w:bookmarkStart w:id="417" w:name="_Toc32331"/>
      <w:bookmarkStart w:id="418" w:name="_Toc11281"/>
      <w:bookmarkStart w:id="419" w:name="_Toc555"/>
      <w:r>
        <w:rPr>
          <w:rFonts w:hint="eastAsia" w:ascii="仿宋_GB2312" w:hAnsi="仿宋_GB2312" w:eastAsia="仿宋_GB2312" w:cs="仿宋_GB2312"/>
          <w:b w:val="0"/>
          <w:bCs/>
        </w:rPr>
        <w:t>4.8.2 转移避险</w:t>
      </w:r>
      <w:bookmarkEnd w:id="414"/>
      <w:bookmarkEnd w:id="415"/>
      <w:bookmarkEnd w:id="416"/>
      <w:bookmarkEnd w:id="417"/>
      <w:bookmarkEnd w:id="418"/>
      <w:bookmarkEnd w:id="419"/>
    </w:p>
    <w:p w14:paraId="7C6C239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为切实提高危险区域防汛抢险救灾应急处置能力，在山洪及洪涝等自然灾害预警发生时，旗防指应启动有关预案，及时采取措施排除各种险情，迅速、有序地转移受困群众，加强现场管控，维护社会稳定，教育群众采取自救互救措施，保护自身生命安全。</w:t>
      </w:r>
    </w:p>
    <w:p w14:paraId="6E36B07E">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20" w:name="_Toc16717"/>
      <w:bookmarkStart w:id="421" w:name="_Toc19543"/>
      <w:bookmarkStart w:id="422" w:name="_Toc4634"/>
      <w:bookmarkStart w:id="423" w:name="_Toc28023"/>
      <w:bookmarkStart w:id="424" w:name="_Toc107596705"/>
      <w:bookmarkStart w:id="425" w:name="_Toc28506"/>
      <w:bookmarkStart w:id="426" w:name="_Toc29745"/>
      <w:bookmarkStart w:id="427" w:name="_Toc15337"/>
      <w:bookmarkStart w:id="428" w:name="_Toc107596710"/>
      <w:bookmarkStart w:id="429" w:name="_Toc29546"/>
      <w:r>
        <w:rPr>
          <w:rFonts w:hint="eastAsia" w:ascii="仿宋_GB2312" w:hAnsi="仿宋_GB2312" w:eastAsia="仿宋_GB2312" w:cs="仿宋_GB2312"/>
        </w:rPr>
        <w:t>4.9 应急响应变更和结束</w:t>
      </w:r>
      <w:bookmarkEnd w:id="420"/>
      <w:bookmarkEnd w:id="421"/>
      <w:bookmarkEnd w:id="422"/>
      <w:bookmarkEnd w:id="423"/>
      <w:bookmarkEnd w:id="424"/>
      <w:bookmarkEnd w:id="425"/>
    </w:p>
    <w:p w14:paraId="6B7C327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当出现以下条件时，旗防指根据灾害发展趋势和影响程度，经综合会商研判，适时变更或结束应急响应等级。</w:t>
      </w:r>
    </w:p>
    <w:p w14:paraId="5FA311E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（一）气象局解除暴雨预警；</w:t>
      </w:r>
    </w:p>
    <w:p w14:paraId="587A3917">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（二）水利局解除洪水预警；</w:t>
      </w:r>
    </w:p>
    <w:p w14:paraId="6B767B0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（三）自然资源局解除地质灾害预警；</w:t>
      </w:r>
    </w:p>
    <w:p w14:paraId="25C8941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（四）工程险情得到控制；</w:t>
      </w:r>
    </w:p>
    <w:p w14:paraId="5270D72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（五）汛情、旱情灾情得到有效缓解。</w:t>
      </w:r>
    </w:p>
    <w:p w14:paraId="261B0CA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（六）自治区防指和市防指发布结束与克旗有关的防汛应急响应。</w:t>
      </w:r>
    </w:p>
    <w:p w14:paraId="0B0EEC07">
      <w:pPr>
        <w:pStyle w:val="2"/>
        <w:bidi w:val="0"/>
        <w:rPr>
          <w:rFonts w:hint="eastAsia" w:ascii="仿宋_GB2312" w:hAnsi="仿宋_GB2312" w:eastAsia="仿宋_GB2312" w:cs="仿宋_GB2312"/>
          <w:b/>
          <w:bCs/>
        </w:rPr>
      </w:pPr>
      <w:bookmarkStart w:id="430" w:name="_Toc21105"/>
      <w:bookmarkStart w:id="431" w:name="_Toc13263"/>
      <w:r>
        <w:rPr>
          <w:rFonts w:hint="eastAsia" w:ascii="仿宋_GB2312" w:hAnsi="仿宋_GB2312" w:eastAsia="仿宋_GB2312" w:cs="仿宋_GB2312"/>
          <w:b/>
          <w:bCs/>
        </w:rPr>
        <w:t>5 保障措施</w:t>
      </w:r>
      <w:bookmarkEnd w:id="426"/>
      <w:bookmarkEnd w:id="427"/>
      <w:bookmarkEnd w:id="428"/>
      <w:bookmarkEnd w:id="429"/>
      <w:bookmarkEnd w:id="430"/>
      <w:bookmarkEnd w:id="431"/>
    </w:p>
    <w:p w14:paraId="37826924">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32" w:name="_Toc7173"/>
      <w:bookmarkStart w:id="433" w:name="_Toc13603"/>
      <w:bookmarkStart w:id="434" w:name="_Toc14788"/>
      <w:bookmarkStart w:id="435" w:name="_Toc107596711"/>
      <w:bookmarkStart w:id="436" w:name="_Toc28750"/>
      <w:bookmarkStart w:id="437" w:name="_Toc27705"/>
      <w:r>
        <w:rPr>
          <w:rFonts w:hint="eastAsia" w:ascii="仿宋_GB2312" w:hAnsi="仿宋_GB2312" w:eastAsia="仿宋_GB2312" w:cs="仿宋_GB2312"/>
        </w:rPr>
        <w:t>5.1 组织保障</w:t>
      </w:r>
      <w:bookmarkEnd w:id="432"/>
      <w:bookmarkEnd w:id="433"/>
      <w:bookmarkEnd w:id="434"/>
      <w:bookmarkEnd w:id="435"/>
      <w:bookmarkEnd w:id="436"/>
      <w:bookmarkEnd w:id="437"/>
    </w:p>
    <w:p w14:paraId="268EE73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建立健全防汛抗旱指挥机构，不断完善组织体系，细化成员单位任务分工，明确工作衔接关系，建立与市防指应急联动、信息共享、组织协调等工作机制。</w:t>
      </w:r>
    </w:p>
    <w:p w14:paraId="20C0C199">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38" w:name="_Toc107596712"/>
      <w:bookmarkStart w:id="439" w:name="_Toc15960"/>
      <w:bookmarkStart w:id="440" w:name="_Toc16436"/>
      <w:bookmarkStart w:id="441" w:name="_Toc14768"/>
      <w:bookmarkStart w:id="442" w:name="_Toc21465"/>
      <w:bookmarkStart w:id="443" w:name="_Toc3688"/>
      <w:r>
        <w:rPr>
          <w:rFonts w:hint="eastAsia" w:ascii="仿宋_GB2312" w:hAnsi="仿宋_GB2312" w:eastAsia="仿宋_GB2312" w:cs="仿宋_GB2312"/>
        </w:rPr>
        <w:t>5.2 资金保障</w:t>
      </w:r>
      <w:bookmarkEnd w:id="438"/>
      <w:bookmarkEnd w:id="439"/>
      <w:bookmarkEnd w:id="440"/>
      <w:bookmarkEnd w:id="441"/>
      <w:bookmarkEnd w:id="442"/>
      <w:bookmarkEnd w:id="443"/>
    </w:p>
    <w:p w14:paraId="7B9405D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旗级财政安排防汛专项资金，用于补助遭受洪涝灾害的苏木乡镇（街道）和旗属单位开展防汛抗洪抢险、修复水毁水利设施。防汛抢险应急处置经费，按现行事权、财权划分原则，分级负担。</w:t>
      </w:r>
    </w:p>
    <w:p w14:paraId="69E2D7A5">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44" w:name="_Toc31569"/>
      <w:bookmarkStart w:id="445" w:name="_Toc5206"/>
      <w:bookmarkStart w:id="446" w:name="_Toc107596713"/>
      <w:bookmarkStart w:id="447" w:name="_Toc2871"/>
      <w:bookmarkStart w:id="448" w:name="_Toc11462"/>
      <w:bookmarkStart w:id="449" w:name="_Toc14504"/>
      <w:r>
        <w:rPr>
          <w:rFonts w:hint="eastAsia" w:ascii="仿宋_GB2312" w:hAnsi="仿宋_GB2312" w:eastAsia="仿宋_GB2312" w:cs="仿宋_GB2312"/>
        </w:rPr>
        <w:t>5.3 物资保障</w:t>
      </w:r>
      <w:bookmarkEnd w:id="444"/>
      <w:bookmarkEnd w:id="445"/>
      <w:bookmarkEnd w:id="446"/>
      <w:bookmarkEnd w:id="447"/>
      <w:bookmarkEnd w:id="448"/>
      <w:bookmarkEnd w:id="449"/>
    </w:p>
    <w:p w14:paraId="0708705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lang w:val="en-US" w:eastAsia="zh-CN"/>
        </w:rPr>
        <w:t>旗应急管理局牵头，各行业</w:t>
      </w:r>
      <w:r>
        <w:rPr>
          <w:rFonts w:hint="eastAsia" w:ascii="仿宋_GB2312" w:hAnsi="宋体" w:eastAsia="仿宋_GB2312"/>
          <w:sz w:val="32"/>
          <w:szCs w:val="32"/>
        </w:rPr>
        <w:t>部门按职能分工负责储备防汛抗旱、抢险救援救灾物资及装备，其他水利工程管理单位、企事业单位应按相关规定储备防汛抢险物资及设备。各级防指可委托第三方代储部分抢险物资和设备。</w:t>
      </w:r>
    </w:p>
    <w:p w14:paraId="280FA7FA">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50" w:name="_Toc8388"/>
      <w:bookmarkStart w:id="451" w:name="_Toc9252"/>
      <w:bookmarkStart w:id="452" w:name="_Toc13153"/>
      <w:bookmarkStart w:id="453" w:name="_Toc12800"/>
      <w:bookmarkStart w:id="454" w:name="_Toc7752"/>
      <w:bookmarkStart w:id="455" w:name="_Toc107596714"/>
      <w:r>
        <w:rPr>
          <w:rFonts w:hint="eastAsia" w:ascii="仿宋_GB2312" w:hAnsi="仿宋_GB2312" w:eastAsia="仿宋_GB2312" w:cs="仿宋_GB2312"/>
        </w:rPr>
        <w:t>5.4 队伍保障</w:t>
      </w:r>
      <w:bookmarkEnd w:id="450"/>
      <w:bookmarkEnd w:id="451"/>
      <w:bookmarkEnd w:id="452"/>
      <w:bookmarkEnd w:id="453"/>
      <w:bookmarkEnd w:id="454"/>
      <w:bookmarkEnd w:id="455"/>
    </w:p>
    <w:p w14:paraId="3B93DE0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防汛抢险队伍由解放军、武警部队、消防救援队伍、基层抢险队伍及社会抢险救援力量等组成。水利、自然资源、住房城乡建设、城市管理综合执法、交通运输、卫生健康、电力等部门应组建专业抢险救援队伍。各级防指应组织抢险救援队伍开展业务培训和演练工作。</w:t>
      </w:r>
    </w:p>
    <w:p w14:paraId="51756108">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56" w:name="_Toc107596715"/>
      <w:bookmarkStart w:id="457" w:name="_Toc11269"/>
      <w:bookmarkStart w:id="458" w:name="_Toc18048"/>
      <w:bookmarkStart w:id="459" w:name="_Toc11949"/>
      <w:bookmarkStart w:id="460" w:name="_Toc11589"/>
      <w:bookmarkStart w:id="461" w:name="_Toc4331"/>
      <w:r>
        <w:rPr>
          <w:rFonts w:hint="eastAsia" w:ascii="仿宋_GB2312" w:hAnsi="仿宋_GB2312" w:eastAsia="仿宋_GB2312" w:cs="仿宋_GB2312"/>
        </w:rPr>
        <w:t>5.5 技术保障</w:t>
      </w:r>
      <w:bookmarkEnd w:id="456"/>
      <w:bookmarkEnd w:id="457"/>
      <w:bookmarkEnd w:id="458"/>
      <w:bookmarkEnd w:id="459"/>
      <w:bookmarkEnd w:id="460"/>
      <w:bookmarkEnd w:id="461"/>
    </w:p>
    <w:p w14:paraId="641F3016">
      <w:pPr>
        <w:shd w:val="clear" w:color="auto" w:fill="FFFFFF"/>
        <w:adjustRightInd w:val="0"/>
        <w:snapToGrid w:val="0"/>
        <w:ind w:firstLine="640"/>
        <w:rPr>
          <w:rFonts w:ascii="仿宋_GB2312" w:hAnsi="宋体" w:eastAsia="仿宋_GB2312"/>
          <w:sz w:val="32"/>
          <w:szCs w:val="32"/>
        </w:rPr>
      </w:pPr>
      <w:bookmarkStart w:id="462" w:name="_Toc24914"/>
      <w:bookmarkStart w:id="463" w:name="_Toc20569"/>
      <w:bookmarkStart w:id="464" w:name="_Toc107596716"/>
      <w:r>
        <w:rPr>
          <w:rFonts w:hint="eastAsia" w:ascii="仿宋_GB2312" w:hAnsi="宋体" w:eastAsia="仿宋_GB2312"/>
          <w:sz w:val="32"/>
          <w:szCs w:val="32"/>
        </w:rPr>
        <w:t>旗防办搭建水旱灾害信息互联互通共享平台，完善防汛指挥系统建设，加强对各级防指能力建设的检查指导，提升全旗防指系统洪涝灾害应对与综合防御能力。</w:t>
      </w:r>
      <w:bookmarkEnd w:id="462"/>
      <w:bookmarkEnd w:id="463"/>
      <w:bookmarkEnd w:id="464"/>
    </w:p>
    <w:p w14:paraId="3371CC8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水利局承担防汛抗旱抢险技术支撑工作，自然资源局承担地质灾害应急救援技术支撑工作。气象局承担灾害性天气信息的监测、预报及预警技术支撑工作。</w:t>
      </w:r>
    </w:p>
    <w:p w14:paraId="66AC296B">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65" w:name="_Toc1658"/>
      <w:bookmarkStart w:id="466" w:name="_Toc28439"/>
      <w:bookmarkStart w:id="467" w:name="_Toc107596717"/>
      <w:bookmarkStart w:id="468" w:name="_Toc21685"/>
      <w:bookmarkStart w:id="469" w:name="_Toc131"/>
      <w:bookmarkStart w:id="470" w:name="_Toc15660"/>
      <w:r>
        <w:rPr>
          <w:rFonts w:hint="eastAsia" w:ascii="仿宋_GB2312" w:hAnsi="仿宋_GB2312" w:eastAsia="仿宋_GB2312" w:cs="仿宋_GB2312"/>
        </w:rPr>
        <w:t>5.6 信息保障</w:t>
      </w:r>
      <w:bookmarkEnd w:id="465"/>
      <w:bookmarkEnd w:id="466"/>
      <w:bookmarkEnd w:id="467"/>
      <w:bookmarkEnd w:id="468"/>
      <w:bookmarkEnd w:id="469"/>
      <w:bookmarkEnd w:id="470"/>
    </w:p>
    <w:p w14:paraId="58DC1EC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基础电信运营企业、铁塔公司优先为防汛抗旱指挥调度做好公用通信网应急通信保障工作。各级防指应按照以公用通信网为主的原则，组建防汛专用通信网络，确保信息畅通。在紧急情况下，应充分利用公共广播和电视等媒体以及手机短信等发布信息，通知群众快速撤离，确保人民生命安全。</w:t>
      </w:r>
    </w:p>
    <w:p w14:paraId="09609A77">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71" w:name="_Toc53"/>
      <w:bookmarkStart w:id="472" w:name="_Toc16550"/>
      <w:bookmarkStart w:id="473" w:name="_Toc21485"/>
      <w:bookmarkStart w:id="474" w:name="_Toc107596718"/>
      <w:bookmarkStart w:id="475" w:name="_Toc8086"/>
      <w:bookmarkStart w:id="476" w:name="_Toc2823"/>
      <w:r>
        <w:rPr>
          <w:rFonts w:hint="eastAsia" w:ascii="仿宋_GB2312" w:hAnsi="仿宋_GB2312" w:eastAsia="仿宋_GB2312" w:cs="仿宋_GB2312"/>
        </w:rPr>
        <w:t>5.7 交通保障</w:t>
      </w:r>
      <w:bookmarkEnd w:id="471"/>
      <w:bookmarkEnd w:id="472"/>
      <w:bookmarkEnd w:id="473"/>
      <w:bookmarkEnd w:id="474"/>
      <w:bookmarkEnd w:id="475"/>
      <w:bookmarkEnd w:id="476"/>
    </w:p>
    <w:p w14:paraId="0827294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交通运输局负责优先保证防汛抢险人员、防汛救灾物资运输和交通设施的安全；负责抢险、救灾车辆的及时调配，协助苏木乡镇（街道）做好群众安全转移所需车辆的调配。</w:t>
      </w:r>
    </w:p>
    <w:p w14:paraId="2E03314B">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77" w:name="_Toc107596719"/>
      <w:bookmarkStart w:id="478" w:name="_Toc14210"/>
      <w:bookmarkStart w:id="479" w:name="_Toc25382"/>
      <w:bookmarkStart w:id="480" w:name="_Toc6012"/>
      <w:bookmarkStart w:id="481" w:name="_Toc5882"/>
      <w:bookmarkStart w:id="482" w:name="_Toc26563"/>
      <w:r>
        <w:rPr>
          <w:rFonts w:hint="eastAsia" w:ascii="仿宋_GB2312" w:hAnsi="仿宋_GB2312" w:eastAsia="仿宋_GB2312" w:cs="仿宋_GB2312"/>
        </w:rPr>
        <w:t>5.8 供电保障</w:t>
      </w:r>
      <w:bookmarkEnd w:id="477"/>
      <w:bookmarkEnd w:id="478"/>
      <w:bookmarkEnd w:id="479"/>
      <w:bookmarkEnd w:id="480"/>
      <w:bookmarkEnd w:id="481"/>
      <w:bookmarkEnd w:id="482"/>
    </w:p>
    <w:p w14:paraId="3662CC2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电力部门负责抗洪抢险、抢排雨涝、防洪救灾等方面的供电需要和应急救援现场的临时供电。</w:t>
      </w:r>
    </w:p>
    <w:p w14:paraId="75F41929">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83" w:name="_Toc2712"/>
      <w:bookmarkStart w:id="484" w:name="_Toc31120"/>
      <w:bookmarkStart w:id="485" w:name="_Toc107596720"/>
      <w:bookmarkStart w:id="486" w:name="_Toc17943"/>
      <w:bookmarkStart w:id="487" w:name="_Toc3920"/>
      <w:bookmarkStart w:id="488" w:name="_Toc10148"/>
      <w:r>
        <w:rPr>
          <w:rFonts w:hint="eastAsia" w:ascii="仿宋_GB2312" w:hAnsi="仿宋_GB2312" w:eastAsia="仿宋_GB2312" w:cs="仿宋_GB2312"/>
        </w:rPr>
        <w:t>5.9 治安保障</w:t>
      </w:r>
      <w:bookmarkEnd w:id="483"/>
      <w:bookmarkEnd w:id="484"/>
      <w:bookmarkEnd w:id="485"/>
      <w:bookmarkEnd w:id="486"/>
      <w:bookmarkEnd w:id="487"/>
      <w:bookmarkEnd w:id="488"/>
    </w:p>
    <w:p w14:paraId="6CAB9D4F">
      <w:pPr>
        <w:shd w:val="clear" w:color="auto" w:fill="FFFFFF"/>
        <w:adjustRightInd w:val="0"/>
        <w:snapToGrid w:val="0"/>
        <w:ind w:firstLine="640"/>
        <w:rPr>
          <w:rFonts w:ascii="仿宋_GB2312" w:hAnsi="宋体" w:eastAsia="仿宋_GB2312"/>
          <w:sz w:val="32"/>
          <w:szCs w:val="32"/>
        </w:rPr>
      </w:pPr>
      <w:bookmarkStart w:id="489" w:name="_Toc107596721"/>
      <w:bookmarkStart w:id="490" w:name="_Toc32755"/>
      <w:bookmarkStart w:id="491" w:name="_Toc19888"/>
      <w:r>
        <w:rPr>
          <w:rFonts w:hint="eastAsia" w:ascii="仿宋_GB2312" w:hAnsi="宋体" w:eastAsia="仿宋_GB2312"/>
          <w:sz w:val="32"/>
          <w:szCs w:val="32"/>
        </w:rPr>
        <w:t>公安部门负责做好水旱灾害发生地的治安管理工作，依法严厉打击破坏抗灾救灾行动和工程设施安全的行为，保证抗灾救灾工作的顺利进行。负责组织做好防汛抢险、分洪爆破时的戒严、警卫工作，维护灾区的社会治安秩序。</w:t>
      </w:r>
      <w:bookmarkEnd w:id="489"/>
      <w:bookmarkEnd w:id="490"/>
      <w:bookmarkEnd w:id="491"/>
    </w:p>
    <w:p w14:paraId="25DBCA71">
      <w:pPr>
        <w:pStyle w:val="2"/>
        <w:bidi w:val="0"/>
        <w:rPr>
          <w:rFonts w:hint="eastAsia" w:ascii="仿宋_GB2312" w:hAnsi="仿宋_GB2312" w:eastAsia="仿宋_GB2312" w:cs="仿宋_GB2312"/>
          <w:b/>
          <w:bCs/>
        </w:rPr>
      </w:pPr>
      <w:bookmarkStart w:id="492" w:name="_Toc14804"/>
      <w:bookmarkStart w:id="493" w:name="_Toc107596722"/>
      <w:bookmarkStart w:id="494" w:name="_Toc93"/>
      <w:bookmarkStart w:id="495" w:name="_Toc9779"/>
      <w:bookmarkStart w:id="496" w:name="_Toc10531"/>
      <w:bookmarkStart w:id="497" w:name="_Toc5032"/>
      <w:r>
        <w:rPr>
          <w:rFonts w:hint="eastAsia" w:ascii="仿宋_GB2312" w:hAnsi="仿宋_GB2312" w:eastAsia="仿宋_GB2312" w:cs="仿宋_GB2312"/>
          <w:b/>
          <w:bCs/>
        </w:rPr>
        <w:t>6 善后工作</w:t>
      </w:r>
      <w:bookmarkEnd w:id="492"/>
      <w:bookmarkEnd w:id="493"/>
      <w:bookmarkEnd w:id="494"/>
      <w:bookmarkEnd w:id="495"/>
      <w:bookmarkEnd w:id="496"/>
      <w:bookmarkEnd w:id="497"/>
    </w:p>
    <w:p w14:paraId="25314D73">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498" w:name="_Toc9830"/>
      <w:bookmarkStart w:id="499" w:name="_Toc28324"/>
      <w:bookmarkStart w:id="500" w:name="_Toc20461"/>
      <w:bookmarkStart w:id="501" w:name="_Toc107596723"/>
      <w:bookmarkStart w:id="502" w:name="_Toc25415"/>
      <w:bookmarkStart w:id="503" w:name="_Toc19718"/>
      <w:r>
        <w:rPr>
          <w:rFonts w:hint="eastAsia" w:ascii="仿宋_GB2312" w:hAnsi="仿宋_GB2312" w:eastAsia="仿宋_GB2312" w:cs="仿宋_GB2312"/>
        </w:rPr>
        <w:t>6.1 灾后重建</w:t>
      </w:r>
      <w:bookmarkEnd w:id="498"/>
      <w:bookmarkEnd w:id="499"/>
      <w:bookmarkEnd w:id="500"/>
      <w:bookmarkEnd w:id="501"/>
      <w:bookmarkEnd w:id="502"/>
      <w:bookmarkEnd w:id="503"/>
    </w:p>
    <w:p w14:paraId="29E0EBD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各相关部门和各苏木乡镇（街道）应尽快组织灾后重建，原则上按原标准恢复，条件允许可提高标准重建。汛情解除后，对经批准的临时截水工程和设施须尽快拆除，恢复原状。</w:t>
      </w:r>
    </w:p>
    <w:p w14:paraId="364AAB60">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504" w:name="_Toc18543"/>
      <w:bookmarkStart w:id="505" w:name="_Toc11698"/>
      <w:bookmarkStart w:id="506" w:name="_Toc107596724"/>
      <w:bookmarkStart w:id="507" w:name="_Toc6434"/>
      <w:bookmarkStart w:id="508" w:name="_Toc3296"/>
      <w:bookmarkStart w:id="509" w:name="_Toc12053"/>
      <w:r>
        <w:rPr>
          <w:rFonts w:hint="eastAsia" w:ascii="仿宋_GB2312" w:hAnsi="仿宋_GB2312" w:eastAsia="仿宋_GB2312" w:cs="仿宋_GB2312"/>
        </w:rPr>
        <w:t>6.2 水毁修复</w:t>
      </w:r>
      <w:bookmarkEnd w:id="504"/>
      <w:bookmarkEnd w:id="505"/>
      <w:bookmarkEnd w:id="506"/>
      <w:bookmarkEnd w:id="507"/>
      <w:bookmarkEnd w:id="508"/>
      <w:bookmarkEnd w:id="509"/>
    </w:p>
    <w:p w14:paraId="4FD973F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汛期结束或洪水退去后，旗政府组织有关部门尽快修复通信、市政公用、交通、水利、电力等水毁工程设施，力争在下一次洪水到来之前恢复主体功能。</w:t>
      </w:r>
    </w:p>
    <w:p w14:paraId="6D281B44">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510" w:name="_Toc15329"/>
      <w:bookmarkStart w:id="511" w:name="_Toc2852"/>
      <w:bookmarkStart w:id="512" w:name="_Toc107596725"/>
      <w:bookmarkStart w:id="513" w:name="_Toc18116"/>
      <w:bookmarkStart w:id="514" w:name="_Toc31483"/>
      <w:bookmarkStart w:id="515" w:name="_Toc16303"/>
      <w:r>
        <w:rPr>
          <w:rFonts w:hint="eastAsia" w:ascii="仿宋_GB2312" w:hAnsi="仿宋_GB2312" w:eastAsia="仿宋_GB2312" w:cs="仿宋_GB2312"/>
        </w:rPr>
        <w:t>6.3 物资补充</w:t>
      </w:r>
      <w:bookmarkEnd w:id="510"/>
      <w:bookmarkEnd w:id="511"/>
      <w:bookmarkEnd w:id="512"/>
      <w:bookmarkEnd w:id="513"/>
      <w:bookmarkEnd w:id="514"/>
      <w:bookmarkEnd w:id="515"/>
    </w:p>
    <w:p w14:paraId="23D8A1C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针对防汛、抗旱物资消耗情况，按照分级负担的原则，各级财政应安排专项资金，及时补充到位，所需物料数量和品种按物资储备定额确定。</w:t>
      </w:r>
    </w:p>
    <w:p w14:paraId="15035984">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516" w:name="_Toc307"/>
      <w:bookmarkStart w:id="517" w:name="_Toc17454"/>
      <w:bookmarkStart w:id="518" w:name="_Toc107596726"/>
      <w:bookmarkStart w:id="519" w:name="_Toc25362"/>
      <w:bookmarkStart w:id="520" w:name="_Toc25133"/>
      <w:bookmarkStart w:id="521" w:name="_Toc15308"/>
      <w:r>
        <w:rPr>
          <w:rFonts w:hint="eastAsia" w:ascii="仿宋_GB2312" w:hAnsi="仿宋_GB2312" w:eastAsia="仿宋_GB2312" w:cs="仿宋_GB2312"/>
        </w:rPr>
        <w:t>6.4 征用补偿</w:t>
      </w:r>
      <w:bookmarkEnd w:id="516"/>
      <w:bookmarkEnd w:id="517"/>
      <w:bookmarkEnd w:id="518"/>
      <w:bookmarkEnd w:id="519"/>
      <w:bookmarkEnd w:id="520"/>
      <w:bookmarkEnd w:id="521"/>
    </w:p>
    <w:p w14:paraId="07B6E59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各级防指在紧急防汛期征用、调用的物资、设备、交通运输工具等，结束后应及时归还或按有关规定给予补偿。</w:t>
      </w:r>
    </w:p>
    <w:p w14:paraId="5A033380">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522" w:name="_Toc30990"/>
      <w:bookmarkStart w:id="523" w:name="_Toc3721"/>
      <w:bookmarkStart w:id="524" w:name="_Toc14528"/>
      <w:bookmarkStart w:id="525" w:name="_Toc4795"/>
      <w:bookmarkStart w:id="526" w:name="_Toc107596727"/>
      <w:bookmarkStart w:id="527" w:name="_Toc24485"/>
      <w:r>
        <w:rPr>
          <w:rFonts w:hint="eastAsia" w:ascii="仿宋_GB2312" w:hAnsi="仿宋_GB2312" w:eastAsia="仿宋_GB2312" w:cs="仿宋_GB2312"/>
        </w:rPr>
        <w:t>6.5 总结评估</w:t>
      </w:r>
      <w:bookmarkEnd w:id="522"/>
      <w:bookmarkEnd w:id="523"/>
      <w:bookmarkEnd w:id="524"/>
      <w:bookmarkEnd w:id="525"/>
      <w:bookmarkEnd w:id="526"/>
      <w:bookmarkEnd w:id="527"/>
    </w:p>
    <w:p w14:paraId="6ED39F5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各级防指应对防汛抗旱应急工作进行总结评估，总结经验教训，提出改进建议。</w:t>
      </w:r>
    </w:p>
    <w:p w14:paraId="631BB44F">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528" w:name="_Toc22053"/>
      <w:bookmarkStart w:id="529" w:name="_Toc13238"/>
      <w:bookmarkStart w:id="530" w:name="_Toc30750"/>
      <w:bookmarkStart w:id="531" w:name="_Toc27726"/>
      <w:bookmarkStart w:id="532" w:name="_Toc107596728"/>
      <w:bookmarkStart w:id="533" w:name="_Toc14164"/>
      <w:r>
        <w:rPr>
          <w:rFonts w:hint="eastAsia" w:ascii="仿宋_GB2312" w:hAnsi="仿宋_GB2312" w:eastAsia="仿宋_GB2312" w:cs="仿宋_GB2312"/>
        </w:rPr>
        <w:t>6.6 奖惩</w:t>
      </w:r>
      <w:bookmarkEnd w:id="528"/>
      <w:bookmarkEnd w:id="529"/>
      <w:bookmarkEnd w:id="530"/>
      <w:bookmarkEnd w:id="531"/>
      <w:bookmarkEnd w:id="532"/>
      <w:bookmarkEnd w:id="533"/>
    </w:p>
    <w:p w14:paraId="7511FDA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对在防汛抢险、抗旱工作中作出突出贡献的劳动模范、集体和个人给予表彰和奖励；在防汛抢险、抗旱工作中英勇献身的人员，按有关规定追认为烈士；对防汛抗旱抢险工作中致伤致残的人员，按有关规定给予工作生活照顾。</w:t>
      </w:r>
    </w:p>
    <w:p w14:paraId="218ED9A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对在防汛抗旱应急工作中玩忽职守造成损失的，依法追究当事人的责任，并予以处罚，构成犯罪的依法追究其刑事责任。</w:t>
      </w:r>
    </w:p>
    <w:p w14:paraId="27879606">
      <w:pPr>
        <w:pStyle w:val="2"/>
        <w:bidi w:val="0"/>
        <w:rPr>
          <w:rFonts w:hint="eastAsia" w:ascii="仿宋_GB2312" w:hAnsi="仿宋_GB2312" w:eastAsia="仿宋_GB2312" w:cs="仿宋_GB2312"/>
          <w:b/>
          <w:bCs/>
        </w:rPr>
      </w:pPr>
      <w:bookmarkStart w:id="534" w:name="_Toc819"/>
      <w:bookmarkStart w:id="535" w:name="_Toc107596729"/>
      <w:bookmarkStart w:id="536" w:name="_Toc28679"/>
      <w:bookmarkStart w:id="537" w:name="_Toc29148"/>
      <w:bookmarkStart w:id="538" w:name="_Toc13411"/>
      <w:bookmarkStart w:id="539" w:name="_Toc3280"/>
      <w:r>
        <w:rPr>
          <w:rFonts w:hint="eastAsia" w:ascii="仿宋_GB2312" w:hAnsi="仿宋_GB2312" w:eastAsia="仿宋_GB2312" w:cs="仿宋_GB2312"/>
          <w:b/>
          <w:bCs/>
        </w:rPr>
        <w:t>7附则</w:t>
      </w:r>
      <w:bookmarkEnd w:id="534"/>
      <w:bookmarkEnd w:id="535"/>
      <w:bookmarkEnd w:id="536"/>
      <w:bookmarkEnd w:id="537"/>
      <w:bookmarkEnd w:id="538"/>
      <w:bookmarkEnd w:id="539"/>
    </w:p>
    <w:p w14:paraId="548536F8">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540" w:name="_Toc15722"/>
      <w:bookmarkStart w:id="541" w:name="_Toc107596730"/>
      <w:bookmarkStart w:id="542" w:name="_Toc16167"/>
      <w:bookmarkStart w:id="543" w:name="_Toc7493"/>
      <w:bookmarkStart w:id="544" w:name="_Toc2677"/>
      <w:bookmarkStart w:id="545" w:name="_Toc12765"/>
      <w:r>
        <w:rPr>
          <w:rFonts w:hint="eastAsia" w:ascii="仿宋_GB2312" w:hAnsi="仿宋_GB2312" w:eastAsia="仿宋_GB2312" w:cs="仿宋_GB2312"/>
        </w:rPr>
        <w:t>7.1 名词术语定义</w:t>
      </w:r>
      <w:bookmarkEnd w:id="540"/>
      <w:bookmarkEnd w:id="541"/>
      <w:bookmarkEnd w:id="542"/>
      <w:bookmarkEnd w:id="543"/>
      <w:bookmarkEnd w:id="544"/>
      <w:bookmarkEnd w:id="545"/>
    </w:p>
    <w:p w14:paraId="0957DBC9">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46" w:name="_Toc107596731"/>
      <w:bookmarkStart w:id="547" w:name="_Toc12975"/>
      <w:bookmarkStart w:id="548" w:name="_Toc502"/>
      <w:bookmarkStart w:id="549" w:name="_Toc4494"/>
      <w:bookmarkStart w:id="550" w:name="_Toc14364"/>
      <w:bookmarkStart w:id="551" w:name="_Toc14506"/>
      <w:r>
        <w:rPr>
          <w:rFonts w:hint="eastAsia" w:ascii="仿宋_GB2312" w:hAnsi="仿宋_GB2312" w:eastAsia="仿宋_GB2312" w:cs="仿宋_GB2312"/>
          <w:b w:val="0"/>
          <w:bCs/>
        </w:rPr>
        <w:t>7.1.1 预警</w:t>
      </w:r>
      <w:bookmarkEnd w:id="546"/>
      <w:bookmarkEnd w:id="547"/>
      <w:bookmarkEnd w:id="548"/>
      <w:bookmarkEnd w:id="549"/>
      <w:bookmarkEnd w:id="550"/>
      <w:bookmarkEnd w:id="551"/>
    </w:p>
    <w:p w14:paraId="3E06546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是指在灾害或灾难以及其他需要提防的危险发生之前，根据以往总结的规律或观测得到的可能性前兆，向相关部门和社会发出紧急信息，报告危险情况，以避免危害在不知情或准备不足的情况下发生，从而最大程度的减轻危害所造成的损失的行为。</w:t>
      </w:r>
    </w:p>
    <w:p w14:paraId="6A639EC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52" w:name="_Toc22705"/>
      <w:bookmarkStart w:id="553" w:name="_Toc107596732"/>
      <w:bookmarkStart w:id="554" w:name="_Toc7522"/>
      <w:bookmarkStart w:id="555" w:name="_Toc29053"/>
      <w:bookmarkStart w:id="556" w:name="_Toc10446"/>
      <w:bookmarkStart w:id="557" w:name="_Toc24659"/>
      <w:r>
        <w:rPr>
          <w:rFonts w:hint="eastAsia" w:ascii="仿宋_GB2312" w:hAnsi="仿宋_GB2312" w:eastAsia="仿宋_GB2312" w:cs="仿宋_GB2312"/>
          <w:b w:val="0"/>
          <w:bCs/>
        </w:rPr>
        <w:t>7.1.2 预警信号</w:t>
      </w:r>
      <w:bookmarkEnd w:id="552"/>
      <w:bookmarkEnd w:id="553"/>
      <w:bookmarkEnd w:id="554"/>
      <w:bookmarkEnd w:id="555"/>
      <w:bookmarkEnd w:id="556"/>
      <w:bookmarkEnd w:id="557"/>
    </w:p>
    <w:p w14:paraId="251539E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预警信号是指气象、水利、水文、自然资源等职能部门根据职责权限向社会公众发布的预警信息。</w:t>
      </w:r>
    </w:p>
    <w:p w14:paraId="19B9C90D">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58" w:name="_Toc31268"/>
      <w:bookmarkStart w:id="559" w:name="_Toc29706"/>
      <w:bookmarkStart w:id="560" w:name="_Toc107596733"/>
      <w:bookmarkStart w:id="561" w:name="_Toc17651"/>
      <w:bookmarkStart w:id="562" w:name="_Toc2518"/>
      <w:bookmarkStart w:id="563" w:name="_Toc10692"/>
      <w:r>
        <w:rPr>
          <w:rFonts w:hint="eastAsia" w:ascii="仿宋_GB2312" w:hAnsi="仿宋_GB2312" w:eastAsia="仿宋_GB2312" w:cs="仿宋_GB2312"/>
          <w:b w:val="0"/>
          <w:bCs/>
        </w:rPr>
        <w:t>7.1.3 防御洪水方案</w:t>
      </w:r>
      <w:bookmarkEnd w:id="558"/>
      <w:bookmarkEnd w:id="559"/>
      <w:bookmarkEnd w:id="560"/>
      <w:bookmarkEnd w:id="561"/>
      <w:bookmarkEnd w:id="562"/>
      <w:bookmarkEnd w:id="563"/>
    </w:p>
    <w:p w14:paraId="08E95E7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是有防汛抗洪任务的县级以上地方人民政府根据流域综合规划、防洪工程实际状况和国家规定的防洪标准，制定的防御江河洪水（包括超标准洪水）、山洪灾害（山洪、泥石流、滑坡等）、台风灾害等方案的统称。</w:t>
      </w:r>
    </w:p>
    <w:p w14:paraId="2B6087B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64" w:name="_Toc21779"/>
      <w:bookmarkStart w:id="565" w:name="_Toc107596734"/>
      <w:bookmarkStart w:id="566" w:name="_Toc23340"/>
      <w:bookmarkStart w:id="567" w:name="_Toc2671"/>
      <w:bookmarkStart w:id="568" w:name="_Toc1311"/>
      <w:bookmarkStart w:id="569" w:name="_Toc29739"/>
      <w:r>
        <w:rPr>
          <w:rFonts w:hint="eastAsia" w:ascii="仿宋_GB2312" w:hAnsi="仿宋_GB2312" w:eastAsia="仿宋_GB2312" w:cs="仿宋_GB2312"/>
          <w:b w:val="0"/>
          <w:bCs/>
        </w:rPr>
        <w:t>7.1.4 洪水等级划分</w:t>
      </w:r>
      <w:bookmarkEnd w:id="564"/>
      <w:bookmarkEnd w:id="565"/>
      <w:bookmarkEnd w:id="566"/>
      <w:bookmarkEnd w:id="567"/>
      <w:bookmarkEnd w:id="568"/>
      <w:bookmarkEnd w:id="569"/>
    </w:p>
    <w:p w14:paraId="6D2CD3D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一般洪水：洪峰流量或洪量的重现期5</w:t>
      </w:r>
      <w:r>
        <w:rPr>
          <w:rFonts w:hint="eastAsia" w:ascii="仿宋_GB2312" w:hAnsi="宋体" w:eastAsia="仿宋_GB2312"/>
          <w:sz w:val="32"/>
          <w:szCs w:val="32"/>
          <w:lang w:eastAsia="zh-CN"/>
        </w:rPr>
        <w:t>～</w:t>
      </w:r>
      <w:r>
        <w:rPr>
          <w:rFonts w:hint="eastAsia" w:ascii="仿宋_GB2312" w:hAnsi="宋体" w:eastAsia="仿宋_GB2312"/>
          <w:sz w:val="32"/>
          <w:szCs w:val="32"/>
        </w:rPr>
        <w:t>10年一遇的洪水。</w:t>
      </w:r>
    </w:p>
    <w:p w14:paraId="459F2B6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较大洪水：洪峰流量或洪量的重现期10</w:t>
      </w:r>
      <w:r>
        <w:rPr>
          <w:rFonts w:hint="eastAsia" w:ascii="仿宋_GB2312" w:hAnsi="宋体" w:eastAsia="仿宋_GB2312"/>
          <w:sz w:val="32"/>
          <w:szCs w:val="32"/>
          <w:lang w:eastAsia="zh-CN"/>
        </w:rPr>
        <w:t>～</w:t>
      </w:r>
      <w:r>
        <w:rPr>
          <w:rFonts w:hint="eastAsia" w:ascii="仿宋_GB2312" w:hAnsi="宋体" w:eastAsia="仿宋_GB2312"/>
          <w:sz w:val="32"/>
          <w:szCs w:val="32"/>
        </w:rPr>
        <w:t>20年一遇的洪水。</w:t>
      </w:r>
    </w:p>
    <w:p w14:paraId="094767F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大洪水：洪峰流量或洪量的重现期20</w:t>
      </w:r>
      <w:r>
        <w:rPr>
          <w:rFonts w:hint="eastAsia" w:ascii="仿宋_GB2312" w:hAnsi="宋体" w:eastAsia="仿宋_GB2312"/>
          <w:sz w:val="32"/>
          <w:szCs w:val="32"/>
          <w:lang w:eastAsia="zh-CN"/>
        </w:rPr>
        <w:t>～</w:t>
      </w:r>
      <w:r>
        <w:rPr>
          <w:rFonts w:hint="eastAsia" w:ascii="仿宋_GB2312" w:hAnsi="宋体" w:eastAsia="仿宋_GB2312"/>
          <w:sz w:val="32"/>
          <w:szCs w:val="32"/>
        </w:rPr>
        <w:t>50年一遇的洪水。</w:t>
      </w:r>
    </w:p>
    <w:p w14:paraId="2641D12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特大洪水：洪峰流量或洪量的重现期大于50年一遇的洪水。</w:t>
      </w:r>
    </w:p>
    <w:p w14:paraId="0D782E4A">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70" w:name="_Toc6130"/>
      <w:bookmarkStart w:id="571" w:name="_Toc107596735"/>
      <w:bookmarkStart w:id="572" w:name="_Toc28863"/>
      <w:bookmarkStart w:id="573" w:name="_Toc11898"/>
      <w:bookmarkStart w:id="574" w:name="_Toc20812"/>
      <w:bookmarkStart w:id="575" w:name="_Toc10983"/>
      <w:r>
        <w:rPr>
          <w:rFonts w:hint="eastAsia" w:ascii="仿宋_GB2312" w:hAnsi="仿宋_GB2312" w:eastAsia="仿宋_GB2312" w:cs="仿宋_GB2312"/>
          <w:b w:val="0"/>
          <w:bCs/>
        </w:rPr>
        <w:t>7</w:t>
      </w:r>
      <w:r>
        <w:rPr>
          <w:rFonts w:hint="eastAsia" w:ascii="仿宋_GB2312" w:hAnsi="仿宋_GB2312" w:eastAsia="仿宋_GB2312" w:cs="仿宋_GB2312"/>
          <w:b w:val="0"/>
          <w:bCs/>
          <w:lang w:val="en-US" w:eastAsia="zh-CN"/>
        </w:rPr>
        <w:t>.1.5 紧急防汛期</w:t>
      </w:r>
      <w:bookmarkEnd w:id="570"/>
      <w:bookmarkEnd w:id="571"/>
      <w:bookmarkEnd w:id="572"/>
      <w:bookmarkEnd w:id="573"/>
      <w:bookmarkEnd w:id="574"/>
      <w:bookmarkEnd w:id="575"/>
    </w:p>
    <w:p w14:paraId="1C5DF5E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紧急防汛期是指当发生重大洪水灾害和险情时，县级以上人民政府防汛指挥机构为了进行社会动员，有效地组织、调度各类资源，地方政府防汛指挥部门应立即采取应急的非常措施，进行抗洪抢险而确定的一段时间。</w:t>
      </w:r>
    </w:p>
    <w:p w14:paraId="21A5316B">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76" w:name="_Toc2050"/>
      <w:bookmarkStart w:id="577" w:name="_Toc107596736"/>
      <w:bookmarkStart w:id="578" w:name="_Toc2178"/>
      <w:bookmarkStart w:id="579" w:name="_Toc27223"/>
      <w:bookmarkStart w:id="580" w:name="_Toc26245"/>
      <w:bookmarkStart w:id="581" w:name="_Toc32483"/>
      <w:r>
        <w:rPr>
          <w:rFonts w:hint="eastAsia" w:ascii="仿宋_GB2312" w:hAnsi="仿宋_GB2312" w:eastAsia="仿宋_GB2312" w:cs="仿宋_GB2312"/>
          <w:b w:val="0"/>
          <w:bCs/>
        </w:rPr>
        <w:t>7.1.6 警戒水位</w:t>
      </w:r>
      <w:bookmarkEnd w:id="576"/>
      <w:bookmarkEnd w:id="577"/>
      <w:bookmarkEnd w:id="578"/>
      <w:bookmarkEnd w:id="579"/>
      <w:bookmarkEnd w:id="580"/>
      <w:bookmarkEnd w:id="581"/>
    </w:p>
    <w:p w14:paraId="63AB9AF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指在河湖库水位上涨到可能发生险情的水位，是我国防汛部门规定的河湖库堤防需要处于防守戒备状态的水位。通常以洪水普遍漫滩或重要堤段水浸堤脚的水位为基准，是堤防险情可能逐渐增多需要处于防守戒备状态时的水位。</w:t>
      </w:r>
    </w:p>
    <w:p w14:paraId="3266D63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警戒水位是防汛部门根据长期防汛抢险的规律、保护区重要性及河道洪水特性等有关因素，经分析研究并上报核定。</w:t>
      </w:r>
    </w:p>
    <w:p w14:paraId="2E81193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82" w:name="_Toc26506"/>
      <w:r>
        <w:rPr>
          <w:rFonts w:hint="eastAsia" w:ascii="仿宋_GB2312" w:hAnsi="仿宋_GB2312" w:eastAsia="仿宋_GB2312" w:cs="仿宋_GB2312"/>
          <w:b w:val="0"/>
          <w:bCs/>
        </w:rPr>
        <w:t>7.1.7 保证水位</w:t>
      </w:r>
      <w:bookmarkEnd w:id="582"/>
    </w:p>
    <w:p w14:paraId="58C8CAB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河湖库、堤防工程所能保证自身安全运行的防汛安全上限水位。又称最高防洪水位或危害水位。当洪水位低于或到达这一水位时，说明工程已处于安全防御的上限情况，堤身内外、堤防基础（包括离堤背一定距离范围）均可能出现严重险情。</w:t>
      </w:r>
    </w:p>
    <w:p w14:paraId="1348601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防汛部门要保证堤防的安全，使工程在</w:t>
      </w:r>
      <w:r>
        <w:rPr>
          <w:rFonts w:hint="eastAsia" w:ascii="仿宋_GB2312" w:hAnsi="宋体" w:eastAsia="仿宋_GB2312"/>
          <w:sz w:val="32"/>
          <w:szCs w:val="32"/>
          <w:lang w:eastAsia="zh-CN"/>
        </w:rPr>
        <w:t>度汛</w:t>
      </w:r>
      <w:r>
        <w:rPr>
          <w:rFonts w:hint="eastAsia" w:ascii="仿宋_GB2312" w:hAnsi="宋体" w:eastAsia="仿宋_GB2312"/>
          <w:sz w:val="32"/>
          <w:szCs w:val="32"/>
        </w:rPr>
        <w:t>方案及防洪调度上完全处于安全防御地位。</w:t>
      </w:r>
    </w:p>
    <w:p w14:paraId="3D753823">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83" w:name="_Toc10031"/>
      <w:r>
        <w:rPr>
          <w:rFonts w:hint="eastAsia" w:ascii="仿宋_GB2312" w:hAnsi="仿宋_GB2312" w:eastAsia="仿宋_GB2312" w:cs="仿宋_GB2312"/>
          <w:b w:val="0"/>
          <w:bCs/>
        </w:rPr>
        <w:t>7.1.8 超标准洪水</w:t>
      </w:r>
      <w:bookmarkEnd w:id="583"/>
    </w:p>
    <w:p w14:paraId="3FCCC50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洪水由于受自然因素及人类活动等影响，具有很大的随机性，可能超过防洪系统或防洪工程设计标准的洪水。</w:t>
      </w:r>
    </w:p>
    <w:p w14:paraId="7C5A942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超标准洪水的防御措施：当洪水超过防洪工程的设计标准或超过防洪体系的设计防御能力时，为确保防洪保护区内城市、重要工矿企业、重要交通铁路干线等重点保护对象或大</w:t>
      </w:r>
      <w:r>
        <w:rPr>
          <w:rFonts w:hint="eastAsia" w:ascii="仿宋_GB2312" w:hAnsi="宋体" w:eastAsia="仿宋_GB2312"/>
          <w:sz w:val="32"/>
          <w:szCs w:val="32"/>
          <w:lang w:eastAsia="zh-CN"/>
        </w:rPr>
        <w:t>部分地区</w:t>
      </w:r>
      <w:r>
        <w:rPr>
          <w:rFonts w:hint="eastAsia" w:ascii="仿宋_GB2312" w:hAnsi="宋体" w:eastAsia="仿宋_GB2312"/>
          <w:sz w:val="32"/>
          <w:szCs w:val="32"/>
        </w:rPr>
        <w:t>的防洪安全，所采取的超常规应急对策。</w:t>
      </w:r>
    </w:p>
    <w:p w14:paraId="16958285">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84" w:name="_Toc6427"/>
      <w:bookmarkStart w:id="585" w:name="_Toc8950"/>
      <w:bookmarkStart w:id="586" w:name="_Toc17574"/>
      <w:bookmarkStart w:id="587" w:name="_Toc24451"/>
      <w:bookmarkStart w:id="588" w:name="_Toc21037"/>
      <w:bookmarkStart w:id="589" w:name="_Toc107596737"/>
      <w:r>
        <w:rPr>
          <w:rFonts w:hint="eastAsia" w:ascii="仿宋_GB2312" w:hAnsi="仿宋_GB2312" w:eastAsia="仿宋_GB2312" w:cs="仿宋_GB2312"/>
          <w:b w:val="0"/>
          <w:bCs/>
        </w:rPr>
        <w:t>7.1.9 旗主要河流</w:t>
      </w:r>
      <w:bookmarkEnd w:id="584"/>
      <w:bookmarkEnd w:id="585"/>
      <w:bookmarkEnd w:id="586"/>
      <w:bookmarkEnd w:id="587"/>
      <w:bookmarkEnd w:id="588"/>
      <w:bookmarkEnd w:id="589"/>
    </w:p>
    <w:p w14:paraId="777386F7">
      <w:pPr>
        <w:adjustRightInd w:val="0"/>
        <w:snapToGrid w:val="0"/>
        <w:ind w:firstLine="640"/>
        <w:rPr>
          <w:rFonts w:ascii="仿宋_GB2312" w:hAnsi="宋体" w:eastAsia="仿宋_GB2312"/>
          <w:sz w:val="32"/>
          <w:szCs w:val="32"/>
        </w:rPr>
      </w:pPr>
      <w:bookmarkStart w:id="590" w:name="_Toc107596738"/>
      <w:bookmarkStart w:id="591" w:name="_Toc9728"/>
      <w:bookmarkStart w:id="592" w:name="_Toc30640"/>
      <w:bookmarkStart w:id="593" w:name="_Toc6007"/>
      <w:r>
        <w:rPr>
          <w:rFonts w:hint="eastAsia" w:ascii="仿宋_GB2312" w:hAnsi="宋体" w:eastAsia="仿宋_GB2312"/>
          <w:sz w:val="32"/>
          <w:szCs w:val="32"/>
        </w:rPr>
        <w:t>西拉木伦河、百岔河、伊和吉林郭勒(大吉林河)、苇塘河、嘎斯汰河、贡格尔河、嘎斯汰河、海流特沟、套林郭勒(沙里河)、大道沟、碧流河（碧柳河）、墩墩昆墩河、沙里漠河、巴嘎吉林郭勒(小吉林河)。</w:t>
      </w:r>
    </w:p>
    <w:p w14:paraId="6CF1849B">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94" w:name="_Toc7721"/>
      <w:bookmarkStart w:id="595" w:name="_Toc25142"/>
      <w:r>
        <w:rPr>
          <w:rFonts w:hint="eastAsia" w:ascii="仿宋_GB2312" w:hAnsi="仿宋_GB2312" w:eastAsia="仿宋_GB2312" w:cs="仿宋_GB2312"/>
          <w:b w:val="0"/>
          <w:bCs/>
        </w:rPr>
        <w:t>7.1.10 三停一休、三个避让、三个紧急撤离</w:t>
      </w:r>
      <w:bookmarkEnd w:id="590"/>
      <w:bookmarkEnd w:id="591"/>
      <w:bookmarkEnd w:id="592"/>
      <w:bookmarkEnd w:id="593"/>
      <w:bookmarkEnd w:id="594"/>
      <w:bookmarkEnd w:id="595"/>
    </w:p>
    <w:p w14:paraId="4724C47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发生严重洪涝灾害时，应停工（业）、停产、停课、休市。</w:t>
      </w:r>
    </w:p>
    <w:p w14:paraId="2A261D3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面对地质灾害时，主动避让、提前避让、预防避让。</w:t>
      </w:r>
    </w:p>
    <w:p w14:paraId="7940E28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高风险区域群众接到暴雨蓝色及以上预警信号时要紧急撤离、危险隐患点发生强降雨时要紧急撤离、出现洪涝灾害险情征兆或对险情不能准确研判时要紧急撤离。</w:t>
      </w:r>
    </w:p>
    <w:p w14:paraId="5AFDBA59">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596" w:name="_Toc9605"/>
      <w:bookmarkStart w:id="597" w:name="_Toc17071"/>
      <w:bookmarkStart w:id="598" w:name="_Toc17640"/>
      <w:bookmarkStart w:id="599" w:name="_Toc20518"/>
      <w:bookmarkStart w:id="600" w:name="_Toc32151"/>
      <w:bookmarkStart w:id="601" w:name="_Toc107596739"/>
      <w:r>
        <w:rPr>
          <w:rFonts w:hint="eastAsia" w:ascii="仿宋_GB2312" w:hAnsi="仿宋_GB2312" w:eastAsia="仿宋_GB2312" w:cs="仿宋_GB2312"/>
          <w:b w:val="0"/>
          <w:bCs/>
        </w:rPr>
        <w:t>7.1.11 防汛常态化“五不”目标</w:t>
      </w:r>
      <w:bookmarkEnd w:id="596"/>
      <w:bookmarkEnd w:id="597"/>
      <w:bookmarkEnd w:id="598"/>
      <w:bookmarkEnd w:id="599"/>
      <w:bookmarkEnd w:id="600"/>
      <w:bookmarkEnd w:id="601"/>
    </w:p>
    <w:p w14:paraId="3C2DFF5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重要水利工程不出事、因地质灾害小流域洪水人员伤亡不发生、重要交通不中断、居民家里不进水、局部地区不出现长时间积水。</w:t>
      </w:r>
    </w:p>
    <w:p w14:paraId="752D1F81">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b w:val="0"/>
          <w:bCs/>
        </w:rPr>
      </w:pPr>
      <w:bookmarkStart w:id="602" w:name="_Toc19834"/>
      <w:bookmarkStart w:id="603" w:name="_Toc20128"/>
      <w:bookmarkStart w:id="604" w:name="_Toc28837"/>
      <w:bookmarkStart w:id="605" w:name="_Toc3898"/>
      <w:bookmarkStart w:id="606" w:name="_Toc7125"/>
      <w:r>
        <w:rPr>
          <w:rFonts w:hint="eastAsia" w:ascii="仿宋_GB2312" w:hAnsi="仿宋_GB2312" w:eastAsia="仿宋_GB2312" w:cs="仿宋_GB2312"/>
          <w:b w:val="0"/>
          <w:bCs/>
        </w:rPr>
        <w:t>7.1.12 干旱等级划分</w:t>
      </w:r>
      <w:bookmarkEnd w:id="602"/>
      <w:bookmarkEnd w:id="603"/>
      <w:bookmarkEnd w:id="604"/>
      <w:bookmarkEnd w:id="605"/>
      <w:bookmarkEnd w:id="606"/>
    </w:p>
    <w:p w14:paraId="428C656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轻度干旱：受干旱区域作物受旱面积占播种面积的比例大于20%、小于等于30%；以及因旱造成农（牧）区临时性饮水困难人员占所在地区人口比例大于10%、小于等于15%。</w:t>
      </w:r>
    </w:p>
    <w:p w14:paraId="70DA016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中度干旱：受干旱区域作物受旱面积占播种面积的比例大于30%、小于等于50%；以及因旱造成农（牧）区临时性饮水困难人员占所在地区人口比例大于15%、小于等于20%。</w:t>
      </w:r>
    </w:p>
    <w:p w14:paraId="03F6516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严重干旱：受干旱区域作物受旱面积占播种面积的比例大于50%、小于等于80%；以及因旱造成农（牧）区临时性饮水困难人员占所在地区人口比例大于20%、小于等于30%。</w:t>
      </w:r>
    </w:p>
    <w:p w14:paraId="6221B19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特大干旱：受干旱区域作物受旱面积占播种面积的比例大于80%；以及因旱造成农（牧）区临时性饮水困难人员占所在地区人口比例大于30%。</w:t>
      </w:r>
    </w:p>
    <w:p w14:paraId="3543B72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城市干旱：因遇枯水年造成城市供水水源不足，或者由于突发事件使城市供水水源遭到破坏，导致城市实际供水能力低于正常需求，致使城市的生产、生活生态环境受到影响。</w:t>
      </w:r>
    </w:p>
    <w:p w14:paraId="6C28417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本预案有关数量的表述中，“以上”含本数，“以下”不含本数。</w:t>
      </w:r>
    </w:p>
    <w:p w14:paraId="29DA3673">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07" w:name="_Toc107596740"/>
      <w:bookmarkStart w:id="608" w:name="_Toc22593"/>
      <w:bookmarkStart w:id="609" w:name="_Toc14593"/>
      <w:bookmarkStart w:id="610" w:name="_Toc17134"/>
      <w:bookmarkStart w:id="611" w:name="_Toc4715"/>
      <w:bookmarkStart w:id="612" w:name="_Toc18601"/>
      <w:r>
        <w:rPr>
          <w:rFonts w:hint="eastAsia" w:ascii="仿宋_GB2312" w:hAnsi="仿宋_GB2312" w:eastAsia="仿宋_GB2312" w:cs="仿宋_GB2312"/>
        </w:rPr>
        <w:t>7.2 预案</w:t>
      </w:r>
      <w:bookmarkEnd w:id="607"/>
      <w:r>
        <w:rPr>
          <w:rFonts w:hint="eastAsia" w:ascii="仿宋_GB2312" w:hAnsi="仿宋_GB2312" w:eastAsia="仿宋_GB2312" w:cs="仿宋_GB2312"/>
        </w:rPr>
        <w:t>管理与更新</w:t>
      </w:r>
      <w:bookmarkEnd w:id="608"/>
      <w:bookmarkEnd w:id="609"/>
      <w:bookmarkEnd w:id="610"/>
      <w:bookmarkEnd w:id="611"/>
      <w:bookmarkEnd w:id="612"/>
    </w:p>
    <w:p w14:paraId="6477E2D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本预案由旗应急管理局负责编制，旗政府审批。苏木乡镇（街道）等防指可根据本预案制定本级防汛抗旱应急预案，经同级政府批准实施，并报旗防指备案。旗有关部门（单位）应结合工作实际，编制本部门（单位）防汛抗旱应急预案并报旗防指备案。</w:t>
      </w:r>
    </w:p>
    <w:p w14:paraId="6C69E03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防汛抗旱应急预案应根据旗有关情况变化适时修订；每</w:t>
      </w:r>
      <w:r>
        <w:rPr>
          <w:rFonts w:hint="eastAsia" w:ascii="仿宋_GB2312" w:hAnsi="宋体" w:eastAsia="仿宋_GB2312"/>
          <w:sz w:val="32"/>
          <w:szCs w:val="32"/>
          <w:lang w:val="en-US" w:eastAsia="zh-CN"/>
        </w:rPr>
        <w:t>3</w:t>
      </w:r>
      <w:r>
        <w:rPr>
          <w:rFonts w:hint="eastAsia" w:ascii="仿宋_GB2312" w:hAnsi="宋体" w:eastAsia="仿宋_GB2312"/>
          <w:sz w:val="32"/>
          <w:szCs w:val="32"/>
        </w:rPr>
        <w:t>年对本预案评估修订一次，并按原报批程序报批。</w:t>
      </w:r>
    </w:p>
    <w:p w14:paraId="6BE91D2A">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13" w:name="_Toc28145"/>
      <w:bookmarkStart w:id="614" w:name="_Toc12632"/>
      <w:bookmarkStart w:id="615" w:name="_Toc107596741"/>
      <w:r>
        <w:rPr>
          <w:rFonts w:hint="eastAsia" w:ascii="仿宋_GB2312" w:hAnsi="仿宋_GB2312" w:eastAsia="仿宋_GB2312" w:cs="仿宋_GB2312"/>
        </w:rPr>
        <w:t>7.3 沟通与协作</w:t>
      </w:r>
      <w:bookmarkEnd w:id="613"/>
      <w:bookmarkEnd w:id="614"/>
    </w:p>
    <w:p w14:paraId="19C80B0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按照国家有关规定，积极开展国际间的防汛抗旱应急交流，借鉴发达国家防汛抗旱应急工作的经验，提高水旱灾害突发事件防范与处置能力。</w:t>
      </w:r>
    </w:p>
    <w:p w14:paraId="7E621DF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加强旗内外之间的交流，积极开展旗内外的防汛抗旱应急工作交流，借鉴先进的防汛抗旱应急工作经验，进一步做好旗水旱灾害的防范与处置工作。</w:t>
      </w:r>
    </w:p>
    <w:p w14:paraId="63CE66CB">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16" w:name="_Toc13939"/>
      <w:bookmarkStart w:id="617" w:name="_Toc5560"/>
      <w:bookmarkStart w:id="618" w:name="_Toc30641"/>
      <w:bookmarkStart w:id="619" w:name="_Toc2085"/>
      <w:bookmarkStart w:id="620" w:name="_Toc30894"/>
      <w:r>
        <w:rPr>
          <w:rFonts w:hint="eastAsia" w:ascii="仿宋_GB2312" w:hAnsi="仿宋_GB2312" w:eastAsia="仿宋_GB2312" w:cs="仿宋_GB2312"/>
        </w:rPr>
        <w:t>7.4 预案解释部门</w:t>
      </w:r>
      <w:bookmarkEnd w:id="615"/>
      <w:bookmarkEnd w:id="616"/>
      <w:bookmarkEnd w:id="617"/>
      <w:bookmarkEnd w:id="618"/>
      <w:bookmarkEnd w:id="619"/>
      <w:bookmarkEnd w:id="620"/>
    </w:p>
    <w:p w14:paraId="11CEDE8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本预案由旗应急管理局负责解释。</w:t>
      </w:r>
    </w:p>
    <w:p w14:paraId="2F5F1D18">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21" w:name="_Toc107596742"/>
      <w:bookmarkStart w:id="622" w:name="_Toc31161"/>
      <w:bookmarkStart w:id="623" w:name="_Toc19383"/>
      <w:bookmarkStart w:id="624" w:name="_Toc22537"/>
      <w:bookmarkStart w:id="625" w:name="_Toc20074"/>
      <w:bookmarkStart w:id="626" w:name="_Toc1446"/>
      <w:r>
        <w:rPr>
          <w:rFonts w:hint="eastAsia" w:ascii="仿宋_GB2312" w:hAnsi="仿宋_GB2312" w:eastAsia="仿宋_GB2312" w:cs="仿宋_GB2312"/>
        </w:rPr>
        <w:t>7.5 预案实施时间</w:t>
      </w:r>
      <w:bookmarkEnd w:id="621"/>
      <w:bookmarkEnd w:id="622"/>
      <w:bookmarkEnd w:id="623"/>
      <w:bookmarkEnd w:id="624"/>
      <w:bookmarkEnd w:id="625"/>
      <w:bookmarkEnd w:id="626"/>
    </w:p>
    <w:p w14:paraId="0B0F270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本预案自印发之日起实施。</w:t>
      </w:r>
      <w:bookmarkStart w:id="627" w:name="_Toc2122"/>
      <w:bookmarkStart w:id="628" w:name="_Toc7004"/>
      <w:bookmarkStart w:id="629" w:name="_Toc28577"/>
      <w:bookmarkStart w:id="630" w:name="_Toc107596743"/>
    </w:p>
    <w:p w14:paraId="1DA96095">
      <w:pPr>
        <w:pStyle w:val="3"/>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rPr>
      </w:pPr>
      <w:bookmarkStart w:id="631" w:name="_Toc2777"/>
      <w:bookmarkStart w:id="632" w:name="_Toc14283"/>
      <w:r>
        <w:rPr>
          <w:rFonts w:hint="eastAsia" w:ascii="仿宋_GB2312" w:hAnsi="仿宋_GB2312" w:eastAsia="仿宋_GB2312" w:cs="仿宋_GB2312"/>
        </w:rPr>
        <w:t>7.6附件</w:t>
      </w:r>
      <w:bookmarkEnd w:id="627"/>
      <w:bookmarkEnd w:id="628"/>
      <w:bookmarkEnd w:id="629"/>
      <w:bookmarkEnd w:id="630"/>
      <w:r>
        <w:rPr>
          <w:rFonts w:hint="eastAsia" w:ascii="仿宋_GB2312" w:hAnsi="仿宋_GB2312" w:eastAsia="仿宋_GB2312" w:cs="仿宋_GB2312"/>
        </w:rPr>
        <w:t>、附表、附图</w:t>
      </w:r>
      <w:bookmarkEnd w:id="631"/>
      <w:bookmarkEnd w:id="632"/>
    </w:p>
    <w:p w14:paraId="5F3C3903">
      <w:pPr>
        <w:widowControl/>
        <w:shd w:val="clear" w:color="auto" w:fill="FFFFFF"/>
        <w:adjustRightInd w:val="0"/>
        <w:snapToGrid w:val="0"/>
        <w:ind w:firstLine="640"/>
        <w:outlineLvl w:val="1"/>
        <w:rPr>
          <w:rFonts w:ascii="仿宋_GB2312" w:hAnsi="宋体" w:eastAsia="仿宋_GB2312"/>
          <w:sz w:val="32"/>
          <w:szCs w:val="32"/>
        </w:rPr>
      </w:pPr>
      <w:bookmarkStart w:id="633" w:name="_Toc30444"/>
      <w:bookmarkStart w:id="634" w:name="_Toc32559"/>
      <w:bookmarkStart w:id="635" w:name="_Toc12418"/>
      <w:bookmarkStart w:id="636" w:name="_Toc107596744"/>
      <w:bookmarkStart w:id="637" w:name="_Toc3386"/>
      <w:bookmarkStart w:id="638" w:name="_Toc3714"/>
      <w:r>
        <w:rPr>
          <w:rFonts w:hint="eastAsia" w:ascii="仿宋_GB2312" w:hAnsi="宋体" w:eastAsia="仿宋_GB2312"/>
          <w:sz w:val="32"/>
          <w:szCs w:val="32"/>
        </w:rPr>
        <w:t>7.6.1附</w:t>
      </w:r>
      <w:bookmarkEnd w:id="633"/>
      <w:bookmarkEnd w:id="634"/>
      <w:bookmarkEnd w:id="635"/>
      <w:bookmarkEnd w:id="636"/>
      <w:r>
        <w:rPr>
          <w:rFonts w:hint="eastAsia" w:ascii="仿宋_GB2312" w:hAnsi="宋体" w:eastAsia="仿宋_GB2312"/>
          <w:sz w:val="32"/>
          <w:szCs w:val="32"/>
        </w:rPr>
        <w:t>件</w:t>
      </w:r>
      <w:bookmarkEnd w:id="637"/>
      <w:bookmarkEnd w:id="638"/>
    </w:p>
    <w:p w14:paraId="1AD66E8D">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附件1：《克什克腾旗防汛抗旱指挥部工作规则》</w:t>
      </w:r>
    </w:p>
    <w:p w14:paraId="475B5C09">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附件2：《应急管理网格化建设和网格员管理办法》</w:t>
      </w:r>
    </w:p>
    <w:p w14:paraId="1C565EAC">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附件3：《旗防汛抗旱指挥部工作组职责及组成单位》</w:t>
      </w:r>
    </w:p>
    <w:p w14:paraId="3A020552">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附件4：《旗城市管理综合行政执法局中心城区极端天气洪涝灾害监测预警信息发布管理办法》</w:t>
      </w:r>
    </w:p>
    <w:p w14:paraId="58C886F1">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附件5：《苏木乡镇（街道）强降雨期间转移避险响应方案》</w:t>
      </w:r>
    </w:p>
    <w:p w14:paraId="342CC090">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附件6：《嘎查村(社区)强降雨期间转移避险处置方案》</w:t>
      </w:r>
    </w:p>
    <w:p w14:paraId="60178D32">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附件7：《强降雨期间山丘区人员转移避险工作方案》</w:t>
      </w:r>
    </w:p>
    <w:p w14:paraId="5644D04B">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附件8：旗防汛抗旱指挥部往来行文参照模板</w:t>
      </w:r>
    </w:p>
    <w:p w14:paraId="252FA6F1">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附件9：旗防汛抗旱会商会议主要议程</w:t>
      </w:r>
    </w:p>
    <w:p w14:paraId="5A6A4517">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bookmarkStart w:id="639" w:name="_Toc13380"/>
      <w:r>
        <w:rPr>
          <w:rFonts w:hint="eastAsia" w:ascii="仿宋_GB2312" w:hAnsi="仿宋_GB2312" w:eastAsia="仿宋_GB2312" w:cs="仿宋_GB2312"/>
          <w:sz w:val="32"/>
          <w:szCs w:val="32"/>
        </w:rPr>
        <w:t>7.6.2附表</w:t>
      </w:r>
      <w:bookmarkEnd w:id="639"/>
    </w:p>
    <w:p w14:paraId="786B502F">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附表1：防汛预警响应工作流程表</w:t>
      </w:r>
    </w:p>
    <w:p w14:paraId="2EE3DC84">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附表2：防汛抗旱应急响应工作流程表</w:t>
      </w:r>
    </w:p>
    <w:p w14:paraId="405737AB">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附表3：旗河流特征值统计表</w:t>
      </w:r>
    </w:p>
    <w:p w14:paraId="574B44BC">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附表4：旗湖泊特征值统计表</w:t>
      </w:r>
    </w:p>
    <w:p w14:paraId="67009A22">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附表5：《旗水库安全度汛明白卡》</w:t>
      </w:r>
    </w:p>
    <w:p w14:paraId="1F713B57">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附表6：《苏木乡镇（街道）防汛抗旱工作措施清单》</w:t>
      </w:r>
    </w:p>
    <w:p w14:paraId="70DCEA9D">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bookmarkStart w:id="640" w:name="_Toc18517"/>
      <w:r>
        <w:rPr>
          <w:rFonts w:hint="eastAsia" w:ascii="仿宋_GB2312" w:hAnsi="仿宋_GB2312" w:eastAsia="仿宋_GB2312" w:cs="仿宋_GB2312"/>
          <w:sz w:val="32"/>
          <w:szCs w:val="32"/>
        </w:rPr>
        <w:t>7.6.3附图</w:t>
      </w:r>
      <w:bookmarkEnd w:id="640"/>
    </w:p>
    <w:p w14:paraId="0DE440BA">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附图1：防汛预警响应工作流程图</w:t>
      </w:r>
    </w:p>
    <w:p w14:paraId="2689369D">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附图2：防汛抗旱应急响应工作流程图</w:t>
      </w:r>
    </w:p>
    <w:p w14:paraId="438167D4">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7.6.4通讯录</w:t>
      </w:r>
    </w:p>
    <w:p w14:paraId="523C1B20">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附表1.克什克腾旗防汛抗旱指挥部通讯录</w:t>
      </w:r>
    </w:p>
    <w:p w14:paraId="7FB8922D">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附表2.克什克腾旗苏木乡镇街道通讯录</w:t>
      </w:r>
    </w:p>
    <w:p w14:paraId="6FEE8BE8">
      <w:pPr>
        <w:adjustRightInd w:val="0"/>
        <w:snapToGrid w:val="0"/>
        <w:ind w:firstLine="643"/>
        <w:outlineLvl w:val="2"/>
        <w:rPr>
          <w:rFonts w:hint="eastAsia" w:ascii="宋体" w:hAnsi="宋体"/>
          <w:b/>
          <w:sz w:val="32"/>
          <w:szCs w:val="32"/>
        </w:rPr>
      </w:pPr>
    </w:p>
    <w:p w14:paraId="0FE781D9">
      <w:pPr>
        <w:adjustRightInd w:val="0"/>
        <w:snapToGrid w:val="0"/>
        <w:ind w:firstLine="643"/>
        <w:outlineLvl w:val="2"/>
        <w:rPr>
          <w:rFonts w:hint="eastAsia" w:ascii="宋体" w:hAnsi="宋体"/>
          <w:b/>
          <w:sz w:val="32"/>
          <w:szCs w:val="32"/>
        </w:rPr>
      </w:pPr>
    </w:p>
    <w:p w14:paraId="0EF0E8E5">
      <w:pPr>
        <w:rPr>
          <w:rFonts w:hint="eastAsia" w:ascii="宋体" w:hAnsi="宋体"/>
          <w:b/>
          <w:sz w:val="32"/>
          <w:szCs w:val="32"/>
        </w:rPr>
      </w:pPr>
      <w:r>
        <w:rPr>
          <w:rFonts w:hint="eastAsia" w:ascii="宋体" w:hAnsi="宋体"/>
          <w:b/>
          <w:sz w:val="32"/>
          <w:szCs w:val="32"/>
        </w:rPr>
        <w:br w:type="page"/>
      </w:r>
    </w:p>
    <w:p w14:paraId="513CDE75">
      <w:pPr>
        <w:pStyle w:val="4"/>
        <w:keepNext/>
        <w:keepLines/>
        <w:pageBreakBefore w:val="0"/>
        <w:widowControl w:val="0"/>
        <w:kinsoku/>
        <w:wordWrap/>
        <w:overflowPunct/>
        <w:topLinePunct w:val="0"/>
        <w:autoSpaceDE/>
        <w:autoSpaceDN/>
        <w:bidi w:val="0"/>
        <w:adjustRightInd/>
        <w:snapToGrid/>
        <w:spacing w:before="0" w:after="0" w:line="600" w:lineRule="exact"/>
        <w:ind w:firstLine="0" w:firstLineChars="0"/>
        <w:textAlignment w:val="auto"/>
        <w:rPr>
          <w:rFonts w:hint="eastAsia" w:ascii="仿宋_GB2312" w:hAnsi="仿宋_GB2312" w:eastAsia="仿宋_GB2312" w:cs="仿宋_GB2312"/>
        </w:rPr>
      </w:pPr>
      <w:bookmarkStart w:id="641" w:name="_Toc10331"/>
      <w:r>
        <w:rPr>
          <w:rFonts w:hint="eastAsia" w:ascii="仿宋_GB2312" w:hAnsi="仿宋_GB2312" w:eastAsia="仿宋_GB2312" w:cs="仿宋_GB2312"/>
        </w:rPr>
        <w:t>7.6.1附件</w:t>
      </w:r>
      <w:bookmarkEnd w:id="641"/>
    </w:p>
    <w:p w14:paraId="42B6BDFF">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2" w:name="_Toc20103"/>
      <w:r>
        <w:rPr>
          <w:rFonts w:hint="eastAsia" w:ascii="仿宋_GB2312" w:hAnsi="仿宋_GB2312" w:eastAsia="仿宋_GB2312" w:cs="仿宋_GB2312"/>
          <w:b w:val="0"/>
          <w:bCs/>
          <w:sz w:val="32"/>
          <w:szCs w:val="32"/>
        </w:rPr>
        <w:t>附件1：《克什克腾旗防汛抗旱指挥部工作规则》</w:t>
      </w:r>
      <w:bookmarkEnd w:id="642"/>
    </w:p>
    <w:p w14:paraId="00D368EC">
      <w:pPr>
        <w:rPr>
          <w:rFonts w:hint="eastAsia"/>
        </w:rPr>
      </w:pPr>
    </w:p>
    <w:p w14:paraId="0AFEAA76">
      <w:pPr>
        <w:widowControl/>
        <w:adjustRightInd w:val="0"/>
        <w:snapToGrid w:val="0"/>
        <w:ind w:firstLine="0" w:firstLineChars="0"/>
        <w:jc w:val="center"/>
        <w:rPr>
          <w:rFonts w:hint="eastAsia" w:ascii="方正大标宋简体" w:hAnsi="宋体" w:eastAsia="方正大标宋简体"/>
          <w:bCs/>
          <w:color w:val="212121"/>
          <w:kern w:val="0"/>
          <w:sz w:val="44"/>
          <w:szCs w:val="44"/>
        </w:rPr>
      </w:pPr>
      <w:r>
        <w:rPr>
          <w:rFonts w:hint="eastAsia" w:ascii="方正大标宋简体" w:hAnsi="宋体" w:eastAsia="方正大标宋简体"/>
          <w:bCs/>
          <w:color w:val="212121"/>
          <w:kern w:val="0"/>
          <w:sz w:val="44"/>
          <w:szCs w:val="44"/>
        </w:rPr>
        <w:t>克什克腾旗防汛抗旱指挥部工作规则</w:t>
      </w:r>
    </w:p>
    <w:p w14:paraId="7F76D82D">
      <w:pPr>
        <w:widowControl/>
        <w:adjustRightInd w:val="0"/>
        <w:snapToGrid w:val="0"/>
        <w:ind w:firstLine="0" w:firstLineChars="0"/>
        <w:jc w:val="center"/>
        <w:rPr>
          <w:rFonts w:hint="eastAsia" w:ascii="黑体" w:hAnsi="黑体" w:eastAsia="黑体"/>
          <w:sz w:val="32"/>
          <w:szCs w:val="32"/>
        </w:rPr>
      </w:pPr>
    </w:p>
    <w:p w14:paraId="1CFC5426">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第一章 总则</w:t>
      </w:r>
    </w:p>
    <w:p w14:paraId="1EFA4B3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第一条　为规范和加强克什克腾旗防汛抗旱指挥部（以下简称旗防指）工作，根据《中华人民共和国防洪法》、《中华人民共和国防汛条例》、《中华人民共和国抗旱条例》、《中华人民共和国突发事件应对法》、《内蒙古自治区实施&lt;防洪法&gt;办法》、《内蒙古自治区防汛抗旱指挥部工作规则（试行）》、《赤峰市防汛抗旱指挥部工作规则（试行）》等法律法规及文件要求，结合工作实际，制定本规则。</w:t>
      </w:r>
    </w:p>
    <w:p w14:paraId="5C328BB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第二条　防汛抗旱工作以“不死人、少伤人”为核心目标，坚持人民至上、生命至上，坚持预防为主、防抗救相结合，实行统一指挥、分级分部门负责、属地管理为主的原则。</w:t>
      </w:r>
    </w:p>
    <w:p w14:paraId="74001DA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第三条　坚持从源头上防范化解重大风险，真正把问题解决在萌芽之时、成灾之前。加强风险评估和监测预警，提升多灾种和灾害链综合监测、风险早期识别和预报预警能力，做到风险研判精准、预警发布精准、风险管控精准、抢险救援精准、恢复重建精准。</w:t>
      </w:r>
    </w:p>
    <w:p w14:paraId="69D7977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第四条　旗防指在</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领导下牵头抓总，负责组织指挥、统筹协调、指导督查全旗防汛抗旱工作；旗防指成员单位组织做好本系统本行业防汛抗旱工作，并根据各自职责和旗防指要求协同做好相关工作。</w:t>
      </w:r>
    </w:p>
    <w:p w14:paraId="2E5A690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第五条　本工作规则适用于暴雨、台风、洪水、干旱等因素引发灾害的日常准备、预报预警、应急处置（抢险救援）、灾后恢复、监督考核的相关管理工作，并将风险识别、会商研判、预报预警、风险管控、应急指挥贯穿全过程。</w:t>
      </w:r>
    </w:p>
    <w:p w14:paraId="77DFE9BB">
      <w:pPr>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第二章 工作职责</w:t>
      </w:r>
    </w:p>
    <w:p w14:paraId="5A5EFD8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第六条  旗防汛抗旱指挥部负责组织、指挥、协调、指导、监督全旗水旱灾害防御和应急处置工作，主要职责是：</w:t>
      </w:r>
    </w:p>
    <w:p w14:paraId="7027A0D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（一）贯彻执行国家、自治区、赤峰市和我旗有关防汛抗旱工作的方针、政策、法规和规章，执行国家、自治区、赤峰市和我旗防汛抗旱指挥部以及旗委、旗政府的决定；</w:t>
      </w:r>
    </w:p>
    <w:p w14:paraId="2DAA75D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（二）拟订克什克腾旗防汛抗旱地方性规章制度；</w:t>
      </w:r>
    </w:p>
    <w:p w14:paraId="0228106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（三）组织制定《克什克腾旗防汛抗旱应急预案》并组织实施；</w:t>
      </w:r>
    </w:p>
    <w:p w14:paraId="55F0A23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（四）组织制定辖区内主要河流防御洪水方案、抗旱预案和应急水量调度方案并组织实施；</w:t>
      </w:r>
    </w:p>
    <w:p w14:paraId="403BE51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（五）组织指导境内重要河流湖泊防御洪水方案编制及实施，审批重要河流、湖泊和</w:t>
      </w:r>
      <w:r>
        <w:rPr>
          <w:rFonts w:hint="eastAsia" w:ascii="仿宋_GB2312" w:hAnsi="宋体" w:eastAsia="仿宋_GB2312"/>
          <w:sz w:val="32"/>
          <w:szCs w:val="32"/>
          <w:lang w:eastAsia="zh-CN"/>
        </w:rPr>
        <w:t>重要水工程</w:t>
      </w:r>
      <w:r>
        <w:rPr>
          <w:rFonts w:hint="eastAsia" w:ascii="仿宋_GB2312" w:hAnsi="宋体" w:eastAsia="仿宋_GB2312"/>
          <w:sz w:val="32"/>
          <w:szCs w:val="32"/>
        </w:rPr>
        <w:t>防御洪水、防御旱灾调度方案和应急水量调度方案；</w:t>
      </w:r>
    </w:p>
    <w:p w14:paraId="0034012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（六）组织相关部门开展防汛抗旱队伍建设和物资储备，负责旗级防汛抗旱队伍建设和物资调配；</w:t>
      </w:r>
    </w:p>
    <w:p w14:paraId="625716D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（七）组织协调辖区内水旱灾害防御和应急救援工作；组织指导防汛抗旱宣传、培训、演练工作；</w:t>
      </w:r>
    </w:p>
    <w:p w14:paraId="207C1FD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八）组织实施抗洪抢险及抗旱减灾措施；下达重要防汛抗旱指令、命令；发布抗洪救灾动员令，动员全社会参与防汛抢险救灾工作；安排部署抗洪救灾工作；宣布进入或结束防汛期；启动、终止全旗防汛抗旱应急响应；</w:t>
      </w:r>
    </w:p>
    <w:p w14:paraId="71BA353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（九）收集和发布全旗汛情、旱情、灾情信息，组织指导重大水旱灾害调查评估工作；</w:t>
      </w:r>
    </w:p>
    <w:p w14:paraId="03CAD21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（十）负责与上级、平级防汛抗旱指挥机构的协同合作，指导下级机构工作；</w:t>
      </w:r>
    </w:p>
    <w:p w14:paraId="489ABEB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（十一）组织开展灾后处置，并做好有关协调工作。</w:t>
      </w:r>
    </w:p>
    <w:p w14:paraId="4EA23AE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第七条  旗防汛抗旱指挥部领导职责：</w:t>
      </w:r>
    </w:p>
    <w:p w14:paraId="7FA2CE8C">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（一）总指挥负责组织指挥全旗防汛抗旱工作；</w:t>
      </w:r>
    </w:p>
    <w:p w14:paraId="0FB528C0">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（二）常务副总指挥（政府常务副旗长）协助总指挥组织、指挥、协调全旗防汛抗旱工作；</w:t>
      </w:r>
    </w:p>
    <w:p w14:paraId="5F84317E">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（三）副总指挥（政府副旗长）协助总指挥、常务副总指挥抓好防汛抗旱工作；</w:t>
      </w:r>
    </w:p>
    <w:p w14:paraId="0E45673A">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（四）副总指挥（武装部部长）负责组织民兵力量参加抗洪抢险、抗旱救灾等重大抢险救灾行动；</w:t>
      </w:r>
    </w:p>
    <w:p w14:paraId="2419373C">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（五）副总指挥（应急管理局局长）承担防汛抗旱指挥部日常工作，协调组织防汛抢险力量参与应急抢险救援工作；</w:t>
      </w:r>
    </w:p>
    <w:p w14:paraId="098B12AE">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（六）副总指挥（水利局局长）负责水情旱情监测预警和水工程防守，实施重要水工程调度，承担防御洪水应急抢险的涉水技术支撑工作；</w:t>
      </w:r>
    </w:p>
    <w:p w14:paraId="549EBA5B">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（七）副总指挥（气象局局长）负责雨情旱情监测预警和人工影响天气作业，承担防汛抗旱气象技术支撑工作；</w:t>
      </w:r>
    </w:p>
    <w:p w14:paraId="6E3A5C38">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（八）副总指挥（武警克旗中队中队长）组织指挥武警部队参加重要水工程和重大险情的应急抢险工作；</w:t>
      </w:r>
    </w:p>
    <w:p w14:paraId="25383AB5">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（九）副总指挥（克旗消防救援大队大队长）组织指挥消防救援队伍参加重要水工程和重大险情的应急抢险工作；</w:t>
      </w:r>
    </w:p>
    <w:p w14:paraId="3F2FC79D">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（十）副总指挥（克旗森防中队中队长）组织指挥森林消防救援队伍参加重要水工程和重大险情的应急抢险工作；</w:t>
      </w:r>
    </w:p>
    <w:p w14:paraId="3145479A">
      <w:pPr>
        <w:adjustRightInd w:val="0"/>
        <w:snapToGrid w:val="0"/>
        <w:ind w:firstLine="640" w:firstLineChars="0"/>
        <w:rPr>
          <w:rFonts w:ascii="仿宋_GB2312" w:hAnsi="宋体" w:eastAsia="仿宋_GB2312"/>
          <w:sz w:val="32"/>
          <w:szCs w:val="32"/>
        </w:rPr>
      </w:pPr>
      <w:r>
        <w:rPr>
          <w:rFonts w:hint="eastAsia" w:ascii="仿宋_GB2312" w:hAnsi="宋体" w:eastAsia="仿宋_GB2312"/>
          <w:sz w:val="32"/>
          <w:szCs w:val="32"/>
        </w:rPr>
        <w:t>秘书长、副秘书长负责在总指挥的领导下处理克什克腾旗防汛抗旱指挥部日常工作，负责协调克什克腾旗防汛抗旱指挥部各成员单位之间的工作。</w:t>
      </w:r>
    </w:p>
    <w:p w14:paraId="3E22B79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第八条  旗防汛抗旱指挥部办公室（以下简称防指办）职责：</w:t>
      </w:r>
    </w:p>
    <w:p w14:paraId="2AF14CA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（一）承担旗防指日常工作，协调、指导全旗防汛抗旱工作；</w:t>
      </w:r>
    </w:p>
    <w:p w14:paraId="2A8F2C0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（二）督促指导各地区、各相关部门落实旗防汛抗旱指挥部工作部署和防汛抗旱责任制；</w:t>
      </w:r>
    </w:p>
    <w:p w14:paraId="590A657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（三）组织开展全旗防汛抗旱督导检查；</w:t>
      </w:r>
    </w:p>
    <w:p w14:paraId="76ED94A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（四）拟订《克什克腾旗防汛抗旱应急预案》，按程序报批并组织演练和实施；</w:t>
      </w:r>
    </w:p>
    <w:p w14:paraId="2AB480A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（五）会同有关部门做好防汛抗旱物资储备、调用等工作；</w:t>
      </w:r>
    </w:p>
    <w:p w14:paraId="7BCE55F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（六）收集掌握汛情、旱情、险情、灾情，组织会商协调，提出应对方案与工作建议；</w:t>
      </w:r>
    </w:p>
    <w:p w14:paraId="5C86DEF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（七）组织召集防汛抗旱指挥部全体会议、紧急会议、专题会议、会商会议及其他会议，并承担会务工作；</w:t>
      </w:r>
    </w:p>
    <w:p w14:paraId="6D24D76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（八）以旗防指和防指办名义制发相关文件，整理存储相关档案；</w:t>
      </w:r>
    </w:p>
    <w:p w14:paraId="5DBB392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（九）统筹全旗防汛抗旱宣传和水旱灾情统计、上报、发布工作；</w:t>
      </w:r>
    </w:p>
    <w:p w14:paraId="1984172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（十）组织开展灾害调查评估和救助工作；</w:t>
      </w:r>
    </w:p>
    <w:p w14:paraId="2EFCAB5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（十一）完成上级防指和旗委、旗政府交办的其他工作。</w:t>
      </w:r>
    </w:p>
    <w:p w14:paraId="4500D47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第九条  各成员单位职责：</w:t>
      </w:r>
    </w:p>
    <w:p w14:paraId="5295BDAB">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旗委宣传部：负责组织新闻媒体做好防汛抗旱新闻宣传工作，开展防汛抗旱知识普及和公益宣传，指导协调有关部门做好防汛抗旱突发事件的信息发布、舆论引导。</w:t>
      </w:r>
    </w:p>
    <w:p w14:paraId="575C565F">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发展和改革委员会：负责将防汛抗旱工作纳入国民经济和社会发展规划，做好防汛抗旱基础设施建设和灾后重建项目申报监督管理；依法干预和制止因洪涝干旱灾害引发的价格异常波动；指导相关企业开展安全度汛工作。</w:t>
      </w:r>
    </w:p>
    <w:p w14:paraId="34AA9EDE">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旗应急管理局：承担旗防指日常工作和防办职责，组织协调全旗水旱灾害应急救援和救灾工作，建立应急协调联动机制；统一指挥全旗应急救援队伍，统筹应急救援</w:t>
      </w:r>
      <w:r>
        <w:rPr>
          <w:rFonts w:hint="eastAsia" w:ascii="仿宋_GB2312" w:hAnsi="宋体" w:eastAsia="仿宋_GB2312"/>
          <w:kern w:val="2"/>
          <w:sz w:val="32"/>
          <w:szCs w:val="32"/>
          <w:lang w:eastAsia="zh-CN"/>
        </w:rPr>
        <w:t>力量</w:t>
      </w:r>
      <w:r>
        <w:rPr>
          <w:rFonts w:hint="eastAsia" w:ascii="仿宋_GB2312" w:hAnsi="宋体" w:eastAsia="仿宋_GB2312"/>
          <w:kern w:val="2"/>
          <w:sz w:val="32"/>
          <w:szCs w:val="32"/>
        </w:rPr>
        <w:t>的建设和管理；组织协调灾害救助，管理、调度、调拨、分配救灾储备物资，并监督使用；依法统一发布水旱灾情信息；组织开展并指导有关部门做好水旱灾害防治及风险评估工作；加强对矿山、尾矿库、危险化学品企业安全度汛工作的监督检查。</w:t>
      </w:r>
    </w:p>
    <w:p w14:paraId="3EA89A40">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水利局：组织编制全旗防汛抗旱规划和重要河流和重要水利工程的防御洪水方案、洪水调度方案，按程序报批并指导实施；制定中小水库、防洪河道、蓄滞洪区、重点水闸汛期调度运用计划和保证任务；负责水情汛情旱情监测预测预警预报及发布，承担洪水防御和洪涝干旱灾害应急抢险的技术支撑工作；做好农田水利基础设施和农村饮水工程的管理和维护，确保其正常运行；指导水库、河道和山洪沟等防汛抗旱工程的建设、运行和管理工作；指导协助苏木乡镇（街道）完成损毁水利工程修复、山洪灾害防御、预案编制与应急演练；负责加强河道巡查，提供行洪障碍物处置的技术方案，协助旗应急管理局开展险情处置，并承担</w:t>
      </w:r>
      <w:r>
        <w:rPr>
          <w:rFonts w:hint="eastAsia" w:ascii="仿宋_GB2312" w:hAnsi="宋体" w:eastAsia="仿宋_GB2312"/>
          <w:kern w:val="2"/>
          <w:sz w:val="32"/>
          <w:szCs w:val="32"/>
          <w:lang w:eastAsia="zh-CN"/>
        </w:rPr>
        <w:t>其他</w:t>
      </w:r>
      <w:r>
        <w:rPr>
          <w:rFonts w:hint="eastAsia" w:ascii="仿宋_GB2312" w:hAnsi="宋体" w:eastAsia="仿宋_GB2312"/>
          <w:kern w:val="2"/>
          <w:sz w:val="32"/>
          <w:szCs w:val="32"/>
        </w:rPr>
        <w:t>防汛抗旱涉水专业技术工作。</w:t>
      </w:r>
    </w:p>
    <w:p w14:paraId="3F33D8C0">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教育局：负责全旗中小学校、幼儿园开展防汛抗旱安全教育和管理工作，指导开展校舍隐患排查、师生转移避险、预案制定和演练工作，协助相关部门提供受灾人员转移安置场所，组织监督本系统落实防汛抗旱责任和措施。</w:t>
      </w:r>
    </w:p>
    <w:p w14:paraId="5ED073C5">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工信和科技局：指导督促工业企业制定防汛抗旱预案；组织协调电信运营企业、铁塔公司开展通信基础设施建设和维护，并开展防汛抗旱宣传教育活动；负责调度应急通信设施，保障抢险救援现场公网通信；组织监督本系统落实防汛抗旱责任和措施。</w:t>
      </w:r>
    </w:p>
    <w:p w14:paraId="391779EF">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公安局：负责维护防汛抗旱、抢险救援交通秩序、治安管理和安全保卫工作；维护灾区社会治安秩序，依法打击造谣惑众和盗窃、哄抢防汛抗旱物资以及破坏防汛抗旱设施的违法犯罪活动；指导有关地区和部门妥善处置因防汛抗旱引发的群体性事件；协助组织群众从危险地区安全撤离或转移；必要时会同交通部门实施交通管制。</w:t>
      </w:r>
    </w:p>
    <w:p w14:paraId="6CF88191">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旗财政局：负责防汛抗旱经费保障工作；负责争取、筹措、管理防汛抗旱抢险救援资金；负责相关资金拨付和监管工作。</w:t>
      </w:r>
    </w:p>
    <w:p w14:paraId="028ED2F4">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旗自然资源局：负责地质灾害监测预报预警、工程治理指导、救援技术支撑，组织开展对山体滑坡、崩塌、泥石流等地质灾害的调查、勘查、监测和应急处置工作。</w:t>
      </w:r>
    </w:p>
    <w:p w14:paraId="0A24B6F2">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旗住房和城乡建设局、</w:t>
      </w:r>
      <w:r>
        <w:rPr>
          <w:rFonts w:hint="eastAsia" w:ascii="仿宋_GB2312" w:hAnsi="宋体" w:eastAsia="仿宋_GB2312"/>
          <w:kern w:val="2"/>
          <w:sz w:val="32"/>
          <w:szCs w:val="32"/>
          <w:lang w:eastAsia="zh-CN"/>
        </w:rPr>
        <w:t>城市综合管理</w:t>
      </w:r>
      <w:r>
        <w:rPr>
          <w:rFonts w:hint="eastAsia" w:ascii="仿宋_GB2312" w:hAnsi="宋体" w:eastAsia="仿宋_GB2312"/>
          <w:kern w:val="2"/>
          <w:sz w:val="32"/>
          <w:szCs w:val="32"/>
          <w:lang w:val="en-US" w:eastAsia="zh-CN"/>
        </w:rPr>
        <w:t>行政</w:t>
      </w:r>
      <w:r>
        <w:rPr>
          <w:rFonts w:hint="eastAsia" w:ascii="仿宋_GB2312" w:hAnsi="宋体" w:eastAsia="仿宋_GB2312"/>
          <w:kern w:val="2"/>
          <w:sz w:val="32"/>
          <w:szCs w:val="32"/>
          <w:lang w:eastAsia="zh-CN"/>
        </w:rPr>
        <w:t>执法局</w:t>
      </w:r>
      <w:r>
        <w:rPr>
          <w:rFonts w:hint="eastAsia" w:ascii="仿宋_GB2312" w:hAnsi="宋体" w:eastAsia="仿宋_GB2312"/>
          <w:kern w:val="2"/>
          <w:sz w:val="32"/>
          <w:szCs w:val="32"/>
        </w:rPr>
        <w:t>：负责制定中心城区防洪规划；指导城镇防汛排涝抢险、市政设施保护、供水设施安全运行和应急供水工作。指导建筑企业安全度汛和在建涉河工程防洪影响评价监督工作；指导灾区开展因灾损毁房屋的安全鉴定、修复；组织监督本系统落实防汛抗旱责任和措施。</w:t>
      </w:r>
    </w:p>
    <w:p w14:paraId="54162B09">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交通运输局：负责公路、水运交通设施的防洪安全工作；做好所辖交通运输基础设施隐患排查和抢修工作；做好公路（桥梁）在建工程防洪影响评价和安全度汛工作；保障防汛指挥车辆、抢险救灾物资运输车辆通行；组织运力做好防汛抗旱和防疫人员、物资及设备的运输工作；配合公安交警做好因强降雨引发的交通安全突发事件应急处置；组织监督本系统落实防汛抗旱责任和措施。</w:t>
      </w:r>
    </w:p>
    <w:p w14:paraId="337E1EFC">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农牧局：监测农牧业灾情，收集、整理和反映农牧业旱涝灾情信息；指导农牧业防汛抗旱救灾和灾后生产恢复工作；合理安排农牧业救灾资金；督促指导农牧业加工企业和渔业安全度汛工作；指导灾区调整农牧业结构、推广应用农业节水技术工作。</w:t>
      </w:r>
    </w:p>
    <w:p w14:paraId="2617A324">
      <w:pPr>
        <w:pStyle w:val="19"/>
        <w:shd w:val="clear" w:color="auto" w:fill="FFFFFF"/>
        <w:adjustRightInd w:val="0"/>
        <w:snapToGrid w:val="0"/>
        <w:spacing w:beforeAutospacing="0" w:afterAutospacing="0"/>
        <w:ind w:firstLine="640"/>
        <w:jc w:val="both"/>
        <w:rPr>
          <w:rFonts w:ascii="仿宋_GB2312" w:hAnsi="宋体" w:eastAsia="仿宋_GB2312"/>
          <w:kern w:val="2"/>
          <w:sz w:val="32"/>
          <w:szCs w:val="32"/>
        </w:rPr>
      </w:pPr>
      <w:r>
        <w:rPr>
          <w:rFonts w:hint="eastAsia" w:ascii="仿宋_GB2312" w:hAnsi="宋体" w:eastAsia="仿宋_GB2312"/>
          <w:kern w:val="2"/>
          <w:sz w:val="32"/>
          <w:szCs w:val="32"/>
        </w:rPr>
        <w:t>旗民政局：指导苏木乡镇（街道）及时做好灾后临时救助工作，开展对流浪乞讨人员、走失人员的应急避险救助；做好养老院、福利院等社会福利机构安全度汛措施；对重点民政服务对象走访排查，对因灾造成生活困难的，及时给予救助帮扶。</w:t>
      </w:r>
    </w:p>
    <w:p w14:paraId="229FB80A">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旗文化旅游体育局：组织开展旅游</w:t>
      </w:r>
      <w:r>
        <w:rPr>
          <w:rFonts w:hint="eastAsia" w:ascii="仿宋_GB2312" w:hAnsi="宋体" w:eastAsia="仿宋_GB2312"/>
          <w:kern w:val="2"/>
          <w:sz w:val="32"/>
          <w:szCs w:val="32"/>
          <w:lang w:val="en-US" w:eastAsia="zh-CN"/>
        </w:rPr>
        <w:t>行业</w:t>
      </w:r>
      <w:r>
        <w:rPr>
          <w:rFonts w:hint="eastAsia" w:ascii="仿宋_GB2312" w:hAnsi="宋体" w:eastAsia="仿宋_GB2312"/>
          <w:kern w:val="2"/>
          <w:sz w:val="32"/>
          <w:szCs w:val="32"/>
        </w:rPr>
        <w:t>防汛抗旱宣传工作；督导旅行社、旅游景区景点落实安全防范、转移避险、应急处置工作；协助提供受灾人员转移安置场所；协调做好汛期旅游景区人员疏导、安置和安全保卫等工作。组织监督本系统落实防汛抗旱责任和措施。</w:t>
      </w:r>
    </w:p>
    <w:p w14:paraId="1336B346">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w:t>
      </w:r>
      <w:r>
        <w:rPr>
          <w:rFonts w:hint="eastAsia" w:ascii="仿宋_GB2312" w:hAnsi="宋体" w:eastAsia="仿宋_GB2312"/>
          <w:kern w:val="2"/>
          <w:sz w:val="32"/>
          <w:szCs w:val="32"/>
          <w:lang w:eastAsia="zh-CN"/>
        </w:rPr>
        <w:t>卫生健康委员会</w:t>
      </w:r>
      <w:r>
        <w:rPr>
          <w:rFonts w:hint="eastAsia" w:ascii="仿宋_GB2312" w:hAnsi="宋体" w:eastAsia="仿宋_GB2312"/>
          <w:kern w:val="2"/>
          <w:sz w:val="32"/>
          <w:szCs w:val="32"/>
        </w:rPr>
        <w:t xml:space="preserve">：组织调派医疗卫生救援力量支援灾区；组织指导地方及时做好灾区医疗救助、疾病预防控制、卫生监督和防疫工作；开展伤员医疗救治、紧急转送等工作。 </w:t>
      </w:r>
    </w:p>
    <w:p w14:paraId="69B14F84">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融媒体中心：播发防汛抗旱公益广告，加大防汛抗旱宣传报道力度，通过广播、电视等多媒体开展防汛抗旱知识宣传；及时准确报道经旗防指审定的汛情、灾情和各地防汛动态。</w:t>
      </w:r>
    </w:p>
    <w:p w14:paraId="500ED7C2">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旗林业和草原局：指导林区防汛抗旱和抢险救灾工作；收集、整理和上报林业和草原旱涝灾害情况；配合水利局对影响行洪的林地进行清理。</w:t>
      </w:r>
    </w:p>
    <w:p w14:paraId="050E693A">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气象局：负责天气气候监测和预警预报发布。提供农牧业旱涝信息和旱情监测信息；对影响汛情、旱情、凌情的天气形势作出监测、分析和预测；对重要天气形势和灾害性天气作出滚动预报，向旗防指有关成员单位提供气象信息，适时开展人工影响天气作业。</w:t>
      </w:r>
    </w:p>
    <w:p w14:paraId="66046E14">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旗人民武装部：负责组织全旗基干民兵、预备役部队并协调武警部队执行抗洪抢险、营救群众、运送物资、稳定秩序等任务，协助地方政府开展灾后重建工作。</w:t>
      </w:r>
    </w:p>
    <w:p w14:paraId="754EA63B">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旗消防救援大队、旗森防中队：组建专业应急救援队伍，做好抢险救援工作。</w:t>
      </w:r>
    </w:p>
    <w:p w14:paraId="238E06B9">
      <w:pPr>
        <w:pStyle w:val="19"/>
        <w:shd w:val="clear" w:color="auto" w:fill="FFFFFF"/>
        <w:adjustRightInd w:val="0"/>
        <w:snapToGrid w:val="0"/>
        <w:spacing w:beforeAutospacing="0" w:afterAutospacing="0"/>
        <w:ind w:firstLine="640"/>
        <w:rPr>
          <w:rFonts w:ascii="仿宋_GB2312" w:hAnsi="宋体" w:eastAsia="仿宋_GB2312"/>
          <w:kern w:val="2"/>
          <w:sz w:val="32"/>
          <w:szCs w:val="32"/>
        </w:rPr>
      </w:pPr>
      <w:r>
        <w:rPr>
          <w:rFonts w:hint="eastAsia" w:ascii="仿宋_GB2312" w:hAnsi="宋体" w:eastAsia="仿宋_GB2312"/>
          <w:kern w:val="2"/>
          <w:sz w:val="32"/>
          <w:szCs w:val="32"/>
        </w:rPr>
        <w:t>国网克旗供电公司：负责防汛抗旱、抢险救援电力调度和应急供电保障工作，协助指导水电站执行防汛调度指令；协调安排受损电力设备抢修和灾后电力重建工作。</w:t>
      </w:r>
    </w:p>
    <w:p w14:paraId="5C38EEE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中国电信克旗分公司、中国移动克分公司、中国联通克分公司、中国广电克旗分公司：负责本系统通信网络公共设施的防汛建设和维护，确保通信工程的防洪安全和汛期通信畅通；根据汛情需要，协调调度应急通信设施，保证抢险通信畅通。</w:t>
      </w:r>
    </w:p>
    <w:p w14:paraId="377E532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水文、铁路、石油、民航等行业防汛抗旱工作职</w:t>
      </w:r>
      <w:r>
        <w:rPr>
          <w:rFonts w:hint="eastAsia" w:ascii="仿宋_GB2312" w:hAnsi="宋体" w:eastAsia="仿宋_GB2312"/>
          <w:sz w:val="32"/>
          <w:szCs w:val="32"/>
          <w:lang w:eastAsia="zh-CN"/>
        </w:rPr>
        <w:t>责</w:t>
      </w:r>
      <w:r>
        <w:rPr>
          <w:rFonts w:hint="eastAsia" w:ascii="仿宋_GB2312" w:hAnsi="宋体" w:eastAsia="仿宋_GB2312"/>
          <w:sz w:val="32"/>
          <w:szCs w:val="32"/>
        </w:rPr>
        <w:t>，按自治区和赤峰市相关规定执行。</w:t>
      </w:r>
    </w:p>
    <w:p w14:paraId="74ACB51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第十条  各苏木乡镇在</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和旗防汛抗旱指挥部领导下，履行属地防汛抗旱责任：</w:t>
      </w:r>
    </w:p>
    <w:p w14:paraId="147C9B7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（一）执行旗委、旗人民政府和旗防汛抗旱指挥部关于防汛抗旱、抢险救灾的重大决策部署。</w:t>
      </w:r>
    </w:p>
    <w:p w14:paraId="1AF1FDF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（二）组织制定本级防汛抗旱应急预案、转移避险响应方案和村级转移避险处置方案，并组织开展演练。</w:t>
      </w:r>
    </w:p>
    <w:p w14:paraId="75912FF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（三）强化暴雨预警与应急响应衔接，建立直达嘎查村（社区）责任人的临灾预警“叫应”机制。</w:t>
      </w:r>
    </w:p>
    <w:p w14:paraId="6F6544F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（四）预置防汛物资，配备防汛装备，组建救援队伍。</w:t>
      </w:r>
    </w:p>
    <w:p w14:paraId="707688E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（五）开展风险隐患排查，建立问题清单、责任清单和防范措施清单，做好辖区内河道清淤、行洪障碍物清理、水毁工程修复、险工险段加固，灾害警示牌设置，落实度汛安全措施。</w:t>
      </w:r>
    </w:p>
    <w:p w14:paraId="2485D54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（六）遭受暴雨洪水袭击时，主要负责人坐镇指挥，包村领导下沉一线，督促指导开展应对处置、现场管控、转移避险和群众安置等工作。</w:t>
      </w:r>
    </w:p>
    <w:p w14:paraId="0E6D5E0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（七）开展群众防汛科普和转移避险知识宣传，分级组织嘎查村社区主要负责人和应急队伍的防汛技能和应急救援培训，辐射覆盖全体基层群众。</w:t>
      </w:r>
    </w:p>
    <w:p w14:paraId="33F08511">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第三章 会议制度</w:t>
      </w:r>
    </w:p>
    <w:p w14:paraId="370B534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第十一条  克什克腾旗防汛抗旱指挥部会议包括全体会议、紧急会议、专题会议、会商会议及其他会议。</w:t>
      </w:r>
    </w:p>
    <w:p w14:paraId="6355034A">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第十二条全体会议一般在每年主汛前召开1次，根据需要可增加会议次数。会议由总指挥或委托常务副总指挥、副总指挥主持召开，旗防汛抗旱指挥部全体成员参加。必要时，组织各苏木乡镇（街道）参加。</w:t>
      </w:r>
    </w:p>
    <w:p w14:paraId="3F9CF4A3">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第十三条  紧急会议根据各地发生的重大汛情、旱情、灾情实际，不定期召开。会议由旗防指总指挥或其委托副总指挥主持，防指总指挥、副总指挥、秘书长、副秘书长和有关成员参加，列席人员根据会议需要确定。</w:t>
      </w:r>
    </w:p>
    <w:p w14:paraId="493D770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第十四条专题会议根据需要召开，由总指挥或委托副总指挥主持召开。参加人员范围根据会议需要确定，必要时组织相关苏木乡镇（街道）及有关成员单位参加。</w:t>
      </w:r>
    </w:p>
    <w:p w14:paraId="095073A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五条会商会议在非应急响应期间由旗防汛抗旱指挥部办公室组织；应急响应期间的会商由旗防汛抗旱指挥部组织，包括汛前会商、定期会商、紧急会商，通过联线会商和集中会商的方式，及时科学研判防汛抗旱形势,研究应急处置措施。</w:t>
      </w:r>
    </w:p>
    <w:p w14:paraId="6B50CD3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第十六条其他会议是以旗防汛抗旱指挥部及其办公室名义召开的有关工作的会议。会议根据旗防汛抗旱工作实际需要召开，参加人员范围根据会议需要确定。</w:t>
      </w:r>
    </w:p>
    <w:p w14:paraId="4394721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第十七条  克什克腾旗防汛抗旱指挥部各成员单位要及时研究落实会议决定的事项。</w:t>
      </w:r>
    </w:p>
    <w:p w14:paraId="157CCBD5">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第四章　日常准备</w:t>
      </w:r>
    </w:p>
    <w:p w14:paraId="676D4D0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第十八条　全面落实属地行政首长负责制为核心的各级防汛抗旱责任人。</w:t>
      </w:r>
    </w:p>
    <w:p w14:paraId="700E271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汛前，旗防指公布16个苏木乡镇（街道）防汛抗旱行政责任人，督促苏木乡镇（街道）落实辖区的防汛责任人，建立“旗级领导包苏木乡镇（街道）、苏木乡镇（街道）领导包嘎查村（社区）、嘎查村（社区）干部包组，党员村民代表包户到人”工作责任制，并予以公布。</w:t>
      </w:r>
    </w:p>
    <w:p w14:paraId="5850916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成员单位按照各自工作职责，根据管理权限落实并公布水库、河湖、闸泵、堤防、蓄滞洪区、地质灾害高风险区和隐患点、城市防涝、旅游景区、避难场所、物资储备库、气象灾害防御重点单位等各类防汛责任人。</w:t>
      </w:r>
    </w:p>
    <w:p w14:paraId="50D044B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第十九条　按照单位自查、行业检查、防指督查等方式开展全旗汛前风险隐患大排查。</w:t>
      </w:r>
    </w:p>
    <w:p w14:paraId="0367418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成员单位、各苏木乡镇（街道）分别组织行业（系统）和辖区内开展风险隐患排查，建立风险隐患清单和分级管控、隐患排查治理工作机制。按照“发现一处、整改一处、闭环管理”的要求，对存在的问题及时整改或者采取补救措施，将排查整改情况报旗防指。</w:t>
      </w:r>
    </w:p>
    <w:p w14:paraId="6F71002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在旗防指成员单位、各苏木乡镇（街道）风险隐患排查整改的基础上，旗防指于每年6月下旬和7月上旬组织督查检查，并将督查检查和整改情况报</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w:t>
      </w:r>
    </w:p>
    <w:p w14:paraId="3C1C4F6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第二十条　旗防指组织编制《克什克腾旗防汛抗旱应急预案》，经旗政府批准后发布；旗防指成员单位根据旗防指应急预案，编制相应的专项预案，并报旗防指备案。当出现新情况新问题时，应及时修订完善预案。</w:t>
      </w:r>
    </w:p>
    <w:p w14:paraId="518AC6C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第二十一条　旗水利局按照权限组织编制重要河流、水库的洪水调度方案和洪水防御方案，报旗防指批准；旗水利局核准审批的水利工程应急度汛方案，报旗防指备案。</w:t>
      </w:r>
    </w:p>
    <w:p w14:paraId="271993C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第二十二条　主汛期前，旗防指组织开展防汛应急演练；旗防指成员单位和各苏木乡镇（街道）结合本行业、本地区实际，组织开展应急演练；嘎查村（社区）等基层组织要有针对性开展防御小流域山洪、地质灾害、城镇内涝等应急演练。</w:t>
      </w:r>
    </w:p>
    <w:p w14:paraId="637F08A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第二十三条　旗防指及有关成员单位加强对防汛抗旱知识的宣传和培训，提高全社会灾害风险防范意识和群众避险自救能力；旗防指每年组织各级防汛行政责任人及防汛骨干技术人员进行业务培训。</w:t>
      </w:r>
    </w:p>
    <w:p w14:paraId="253BDBB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第二十四条　旗防指加强对基层防汛体系的指导，督促</w:t>
      </w:r>
      <w:r>
        <w:rPr>
          <w:rFonts w:hint="eastAsia" w:ascii="仿宋_GB2312" w:hAnsi="宋体" w:eastAsia="仿宋_GB2312"/>
          <w:sz w:val="32"/>
          <w:szCs w:val="32"/>
          <w:lang w:eastAsia="zh-CN"/>
        </w:rPr>
        <w:t>各个</w:t>
      </w:r>
      <w:r>
        <w:rPr>
          <w:rFonts w:hint="eastAsia" w:ascii="仿宋_GB2312" w:hAnsi="宋体" w:eastAsia="仿宋_GB2312"/>
          <w:sz w:val="32"/>
          <w:szCs w:val="32"/>
        </w:rPr>
        <w:t>苏木乡镇（街道）完善防汛抗旱应急预案，</w:t>
      </w:r>
      <w:r>
        <w:rPr>
          <w:rFonts w:hint="eastAsia" w:ascii="仿宋_GB2312" w:hAnsi="宋体" w:eastAsia="仿宋_GB2312"/>
          <w:sz w:val="32"/>
          <w:szCs w:val="32"/>
          <w:lang w:eastAsia="zh-CN"/>
        </w:rPr>
        <w:t>按照</w:t>
      </w:r>
      <w:r>
        <w:rPr>
          <w:rFonts w:hint="eastAsia" w:ascii="仿宋_GB2312" w:hAnsi="宋体" w:eastAsia="仿宋_GB2312"/>
          <w:sz w:val="32"/>
          <w:szCs w:val="32"/>
        </w:rPr>
        <w:t>旗防指办印发的《苏木乡镇防汛抗旱工作措施清单》和旗应急管理局编制的《苏木乡镇（街道）强降雨期间转移避险响应方案（建议稿）》《嘎查村（社区）强降雨期间转移避险处置方案（建议稿）》以及《应急管理网格化管理办法》，指导防汛责任人做好人员转移避险、重点部位巡查、抢险救援救灾等工作，并将完成情况报旗防指。</w:t>
      </w:r>
    </w:p>
    <w:p w14:paraId="6506281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第二十五条　水利、民政、发改、工信和科技、公安、农牧、林草、城管、自然资源、住建、交通运输、电力、通信等旗防指成员单位根据各自职责做好应急物资、专业救援装备、力量的准备和保障工作。</w:t>
      </w:r>
    </w:p>
    <w:p w14:paraId="3EF4A38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第二十六条  旗应急管理局统筹克什克腾旗消防救援大队和森林消防中队，衔接解放军和武警部队参与应急救援工作，建设储备专业性抢险队伍，建立应急协调联动机制，加强统一协调指挥，组织相关联动单位开展实战演练，提高各协作部门协同配合能力。</w:t>
      </w:r>
    </w:p>
    <w:p w14:paraId="47340CFE">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第二十七条  旗应急管理局组织建立全旗应急物资共用共享和协调机制，物资调用由旗防汛抗旱指挥部办公室提出调拨计划，物资储备管理单位执行。</w:t>
      </w:r>
    </w:p>
    <w:p w14:paraId="78DF924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第二十八条  各成员单位抓好行业内防汛抗旱工作，积极提出加强和改进防汛抗旱工作的建议和意见。必要时，成员单位可以提请旗防汛抗旱指挥部办公室以旗防汛抗旱指挥部名义召开专题会议或下发通知等部署相关工作。</w:t>
      </w:r>
    </w:p>
    <w:p w14:paraId="5D08053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第二十九条　旗防指严格落实汛期24小时值班和领导带班制度，旗防指成员单位应按预案要求建立值班制度；遇有重要天气过程或旗防指启动应急响应期间应加强值班值守。</w:t>
      </w:r>
    </w:p>
    <w:p w14:paraId="43331A7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第三十条　应急管理、气象、水利、住建、城管、自然资源、农牧等成员单位的实时监测信息、应急测绘成果和预测预报预警结果要实现共享，及时向旗防指报告情势分析、险情处置及应急响应行动等信息。</w:t>
      </w:r>
    </w:p>
    <w:p w14:paraId="78CABE82">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第五章　预报预警</w:t>
      </w:r>
    </w:p>
    <w:p w14:paraId="285AA8B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第三十一条　旗气象局承担灾害性天气监测预报预警，提高3小时定量降水预报精准度，集中降雨区要细化到苏木乡镇（街道）。</w:t>
      </w:r>
    </w:p>
    <w:p w14:paraId="5A3DAFE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旗水利局承担水情监测预报预警，组织设定山洪灾害预警指标，指导确定“准备转移”和“立即转移”雨量预警数值，及时向特定对象发布预警。</w:t>
      </w:r>
    </w:p>
    <w:p w14:paraId="6DA6D15D">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自然资源局承担地质灾害监测预报预警，地质灾害隐患点要细化精准，建立覆盖地质灾害高风险区、重要隐患点的自动化监测网络。</w:t>
      </w:r>
    </w:p>
    <w:p w14:paraId="796A3E2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城市管理综合执法局组织全面排查城市内涝风险点，承担城市内涝监测预报预警。</w:t>
      </w:r>
    </w:p>
    <w:p w14:paraId="4296832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上述成员单位将监测预报预警结果报旗防指，并按权限向社会发布专项预警。旗防指整合分析有关成员单位监测预报预警信息，形成自然灾害综合监测预警信息进行统一发布。</w:t>
      </w:r>
    </w:p>
    <w:p w14:paraId="7369459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第三十二条　当监测预报值达到应急响应启动或调整的条件时，应急、气象、水利、住建、交通、自然资源等部门应向旗防指提出组织会商、启动或调整应急响应的建议。</w:t>
      </w:r>
    </w:p>
    <w:p w14:paraId="66740D6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第三十三条　根据部门建议，由旗防指办主任组织有关成员单位和有关旗级防指成员进行会商，研判和识别灾害性天气带来的风险，形成风险提示函，并提出下一步工作建议。</w:t>
      </w:r>
    </w:p>
    <w:p w14:paraId="20B4292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第三十四条　根据会商结果，旗防指向相关成员单位和有关地区发出工作告知函、风险提醒函或做好防御准备通知。</w:t>
      </w:r>
    </w:p>
    <w:p w14:paraId="0B26770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第三十五条　会商研判认为可能会发生严重灾害时，旗防指向可能受灾地区派出工作督导组，督促指导当地落实防御措施。</w:t>
      </w:r>
    </w:p>
    <w:p w14:paraId="1AE602F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第三十六条　根据灾害影响程度和发展趋势，应急管理局协调消防救援等抢险救援力量，向可能受灾地区预置救援人员和装备，做好抢险救援前期准备工作。</w:t>
      </w:r>
    </w:p>
    <w:p w14:paraId="29D56F3C">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第六章 应急处置</w:t>
      </w:r>
    </w:p>
    <w:p w14:paraId="22DA199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第三十七条  根据应急管理、气象、水利、自然资源、住建等部门的建议和监测预报预警信息，经会商分析，旗防指按照《克什克腾旗防汛抗旱应急预案》启动应急响应。应急响应的启动、调整和结束由旗防指或由其授权的旗防指办组织研究决定。</w:t>
      </w:r>
    </w:p>
    <w:p w14:paraId="731F9FD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第三十八条　根据发生险情严重程度、伤亡人数、经济损失、受旱面积等情况，克什克腾旗应对防汛抗旱工作由低到高设定</w:t>
      </w:r>
      <w:r>
        <w:rPr>
          <w:rFonts w:hint="eastAsia" w:ascii="仿宋_GB2312" w:hAnsi="宋体" w:eastAsia="仿宋_GB2312"/>
          <w:sz w:val="32"/>
          <w:szCs w:val="32"/>
          <w:lang w:eastAsia="zh-CN"/>
        </w:rPr>
        <w:t>Ⅳ级</w:t>
      </w:r>
      <w:r>
        <w:rPr>
          <w:rFonts w:hint="eastAsia" w:ascii="仿宋_GB2312" w:hAnsi="宋体" w:eastAsia="仿宋_GB2312"/>
          <w:sz w:val="32"/>
          <w:szCs w:val="32"/>
        </w:rPr>
        <w:t>、Ⅲ级、Ⅱ级、Ⅰ级四个响应等级。应急响应期间，旗防指根据应急响应等级视情适时组织相关成员单位会商。</w:t>
      </w:r>
    </w:p>
    <w:p w14:paraId="5ED7AFA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Ⅳ级应急响应期间，由旗防指办主任组织会商；Ⅲ级应急响应期间，旗防指常务副总指挥、副总指挥或其授权的旗防指办主任组织会商；Ⅱ级、Ⅰ级应急响应期间，由旗防指总指挥组织会商。</w:t>
      </w:r>
    </w:p>
    <w:p w14:paraId="4510E98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第三十九条　当预报发生大洪水或出现水利工程险情、地质灾害、城镇内涝等时，应急、水利、气象、住建、城管、自然资源等成员单位及时组织抗洪抢险会商，提出相关对策建议并报旗防指。</w:t>
      </w:r>
    </w:p>
    <w:p w14:paraId="280C13A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第四十条　根据会商研判成果和汛情发展，旗防指对防御工作进行部署。</w:t>
      </w:r>
    </w:p>
    <w:p w14:paraId="65B2C6D2">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Ⅳ级应急响应期间，由旗防指办主任进行部署，并发出做好防御工作的通知；</w:t>
      </w:r>
    </w:p>
    <w:p w14:paraId="327266E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Ⅲ级应急响应期间，由旗防指常务副总指挥、副总指挥或其授权的旗防指办主任进行部署；</w:t>
      </w:r>
    </w:p>
    <w:p w14:paraId="632C459A">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Ⅱ级应急响应期间，由旗防指总指挥或常务副总指挥进行部署；</w:t>
      </w:r>
    </w:p>
    <w:p w14:paraId="631FB428">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Ⅰ级应急响应期间，由旗防指总指挥进行部署；必要时，提请</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主要领导动员部署，并发出做好防御工作的紧急通知。</w:t>
      </w:r>
    </w:p>
    <w:p w14:paraId="22E1561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第四十一条　启动Ⅲ级及以上应急响应时，旗防指向有关成员单位发送工作告知函，明确做好防御工作有关要求。</w:t>
      </w:r>
    </w:p>
    <w:p w14:paraId="1024F42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第四十二条　Ⅱ级及以上应急响应期间，旗防指有关成员单位派员进驻旗防指进行联合值守。</w:t>
      </w:r>
    </w:p>
    <w:p w14:paraId="6372C57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Ⅱ级应急响应期间，应急、宣传、气象、水利、发改、住建、自然资源、工信、农牧、交通运输、公安、文旅、城管、武警中队、森防中队、消防大队等单位的分管领导进驻旗防指值班，其他成员单位按要求进驻；</w:t>
      </w:r>
    </w:p>
    <w:p w14:paraId="51824347">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Ⅰ级应急响应期间，应急、宣传、气象、水利、林草、发改、住建、自然资源、工信和科技、农牧、交通运输、公安、文旅、城管、武警中队、森防中队、消防大队等单位主要领导进驻旗防指值班，其他成员单位按要求进驻。</w:t>
      </w:r>
    </w:p>
    <w:p w14:paraId="58E0A0FE">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第四十三条　根据监测预报、风险预警以及会商结果，应急管理局、气象、水利、林草、发改、住建、自然资源、工信和科技、农牧、交通运输、公安、文旅、城管等部门列出风险清单及管控要求报旗防指，由旗防指汇总评估后，以风险提示单形式下达给相关苏木乡镇（街道），督促指导做好相关防御工作。</w:t>
      </w:r>
    </w:p>
    <w:p w14:paraId="051C72AA">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第四十四条　落实风险管控动态销号制度，对风险隐患实行定部门、定人、定责、定时间等精准整改制度，实现闭环管理。旗防指督促有关成员单位和相关苏木乡镇（街道）根据风险提示函要求落实管控措施，有关成员单位和苏木乡镇（街道）将落实情况以风险管控表的形式报旗防指。</w:t>
      </w:r>
    </w:p>
    <w:p w14:paraId="23E12710">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第四十五条　Ⅱ级及以上应急响应时，旗防指向受影响地区或有关单位派出工作组。工作组组长由应急管理局或可能发生主要灾种的旗防指成员单位领导担任。如该地区已派督导组的，督导组即转为工作组。</w:t>
      </w:r>
    </w:p>
    <w:p w14:paraId="6C0F2DB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工作组督促指导当地防汛抗旱应急处置工作及风险提示单的管控落实，并适时向旗防指报送工作情况。</w:t>
      </w:r>
    </w:p>
    <w:p w14:paraId="0DFD657A">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第四十六条　旗水利局组织实施防御洪水和应急水量调度，调度令同步报告旗防指;遇突发险情、超标准洪水、需启用蓄滞洪区等重大特别情况，旗水利局拟订调度方案，提交旗防指会商，并按研究明确的意见组织实施调度。</w:t>
      </w:r>
    </w:p>
    <w:p w14:paraId="49B55A6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第四十七条　抢险救援坚持以属地为主的原则，由灾害发生地政府负总责，当地防指负责具体工作落实；坚持统一指挥、跨区域支援、专业力量和社会力量有序联动的应急救援组织运行模式。</w:t>
      </w:r>
    </w:p>
    <w:p w14:paraId="276E7CF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旗防指根据事态严重程度或灾害发生地防指的支援请求，统筹调度物资、队伍、装备支援抢险救援，必要时向市防指请求支援。</w:t>
      </w:r>
    </w:p>
    <w:p w14:paraId="272E1A6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第四十八条　立足于抢早抢小、抓早抓小，自然资源、农牧、水利、林草、发改、工信、住建、城管、交通运输等部门组织、督促、指导本行业、本系统、本部门的防汛抢险工作；应急管理部门组织协调重大、特别重大灾害的抢险和应急救援，有关部门提供技术支撑。</w:t>
      </w:r>
    </w:p>
    <w:p w14:paraId="6C3A1C9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第四十九条　旗防指成员单位和各苏木乡镇（街道）要及时向旗防指报送相关工作动态。</w:t>
      </w:r>
    </w:p>
    <w:p w14:paraId="7BECFB14">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Ⅳ级应急响应期间，于每日15时报送；Ⅲ级应急响应期间，于每日9时、15时报送；Ⅱ级应急响应期间，于每日7时、10时、15时报送；Ⅰ级应急响应期间，于每日7时起，每间隔2小时报送。其中应急、气象、水利、交通、住建、城管、自然资源局等部门按规定加密报送频率，遇突发灾情、险情和旗防指工作需要，随时报送。</w:t>
      </w:r>
    </w:p>
    <w:p w14:paraId="6B81F066">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第五十条　旗防指采用防汛抗旱简报等形式向市防指和</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报告旗防汛抗旱工作动态和克什克腾旗实时汛情、旱情和灾情；必要时，采用防汛应急专报形式向</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主要领导报告洪涝信息、风险隐患研判及防御处置工作情况。</w:t>
      </w:r>
    </w:p>
    <w:p w14:paraId="51AB2F2C">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第五十一条  旗防汛抗旱指挥部各成员单位间要加强沟通，各成员单位要确定一个股室（部门）牵头负责防汛抗旱及相关工作，并指定一名负责人为联络员，保持与旗防汛抗旱指挥部办公室的日常工作联系。</w:t>
      </w:r>
    </w:p>
    <w:p w14:paraId="31859F7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第五十二条　应急响应期间，重大决策部署、综合汛情、旱情、灾情和抢险救灾等重要信息，经总指挥或常务副总指挥同意，由旗防指通过克什克腾旗主流媒体对外统一发布。根据应急响应等级，旗防指视情组织相关成员单位举行新闻发布会。旗防指办每日16时将信息通过应急管理微信公众号发布，同步将信息发送至各媒体。旗防指成员单位特别是旗委宣传部要牢牢把握正确的宣传导向，协调指导做好新闻宣传</w:t>
      </w:r>
      <w:r>
        <w:rPr>
          <w:rFonts w:hint="eastAsia" w:ascii="仿宋_GB2312" w:hAnsi="宋体" w:eastAsia="仿宋_GB2312"/>
          <w:sz w:val="32"/>
          <w:szCs w:val="32"/>
          <w:lang w:eastAsia="zh-CN"/>
        </w:rPr>
        <w:t>、</w:t>
      </w:r>
      <w:r>
        <w:rPr>
          <w:rFonts w:hint="eastAsia" w:ascii="仿宋_GB2312" w:hAnsi="宋体" w:eastAsia="仿宋_GB2312"/>
          <w:sz w:val="32"/>
          <w:szCs w:val="32"/>
        </w:rPr>
        <w:t>信息互动等各项工作；遇特别重大、重大突发事件时，按照相关规定要求，最迟要在5小时内发布权威信息，在24小时内举行新闻发布会，并根据进展持续发布权威信息，主动回应社会关切，为防汛抗旱工作营造良好的舆论氛围。</w:t>
      </w:r>
    </w:p>
    <w:p w14:paraId="3A772F7A">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第五十三条　应急响应结束后，应急、气象、水利、交通、住建、城管、自然资源等成员单位应在12小时内将主要特征性数据等基本情况报旗防指，旗防指各成员单位和受影响的地区应在24小时内将总结报旗防指。</w:t>
      </w:r>
    </w:p>
    <w:p w14:paraId="2D10F22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第五十四条　建立防汛抗旱工作档案。按照“一事一档”原则，及时将每次启动应急响应的防汛抗旱工作形成档案材料，按时序收集整理工作部署、重要气象报告、防御工作通知、视频会议、监测预警、会商研判、视频连线、信息报告、信息简报、总结报告、媒体宣传等重要文件资料。文件、档案管理工作统一由旗防汛抗旱指挥部办公室负责。</w:t>
      </w:r>
    </w:p>
    <w:p w14:paraId="5EFF65BF">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遭遇重大灾害后，旗防指应组织有关单位和专家对应急处置和救灾防御工作进行复盘评估，分析原因，总结经验。</w:t>
      </w:r>
    </w:p>
    <w:p w14:paraId="2C55F4FC">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第七章　灾后恢复</w:t>
      </w:r>
    </w:p>
    <w:p w14:paraId="231A5A5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第五十五条　发生重大自然灾害后，以保障受灾群众基本生活、企业恢复生产为重点，旗防指、旗减灾委组织发改、财政、应急管理等部门统筹做好灾后恢复重建工作，第一时间进行部署。应急管理局、财政局统筹安排自然灾害紧急救援救助资金，按程序报批后第一时间下达重点受灾地区，并根据全旗受灾及灾后重建工作任务量等综合情况，会同相关部门分别提出灾后重建资金筹措及安排建议，针对性地用于抢险救援、受灾群众救助和水利、住建、民政、城管、交通运输、农牧等方面的灾后重建工作。对遭受灾情较为严重的，由旗人民政府向上级提出申请，积极争取</w:t>
      </w:r>
      <w:r>
        <w:rPr>
          <w:rFonts w:hint="eastAsia" w:ascii="仿宋_GB2312" w:hAnsi="宋体" w:eastAsia="仿宋_GB2312"/>
          <w:sz w:val="32"/>
          <w:szCs w:val="32"/>
          <w:lang w:eastAsia="zh-CN"/>
        </w:rPr>
        <w:t>党中央</w:t>
      </w:r>
      <w:r>
        <w:rPr>
          <w:rFonts w:hint="eastAsia" w:ascii="仿宋_GB2312" w:hAnsi="宋体" w:eastAsia="仿宋_GB2312"/>
          <w:sz w:val="32"/>
          <w:szCs w:val="32"/>
        </w:rPr>
        <w:t>、自治区和市级财政支持，尽快恢复正常生产生活秩序和城乡面貌。</w:t>
      </w:r>
    </w:p>
    <w:p w14:paraId="4EA17F49">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第五十六条　应急管理部门牵头会同有关部门综合评估城乡住房、基础设施、公共服务设施、农牧业、生态环境、土地、文物、企业等灾害损失，实事求是、客观科学地确定灾害范围和灾害损失，按程序报批后作为灾区灾后重建的重要依据。</w:t>
      </w:r>
    </w:p>
    <w:p w14:paraId="359973E5">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第五十七条　应急管理部门指导灾区做好灾民安置和救助、救灾资金使用等工作，会同发改、民政、红会等部门指导灾区做好救灾物资回收、补充等工作；会同发改、工信等部门组织指导企业安全恢复生产；交通运输、水利、住建、城管、电力、通信等部门在最短时间内组织抢修抢通道路、供水、供电、通讯等设施，抓紧修复水毁工程；卫生健康部门组织伤员救护和防疫消杀；财政部门组织做好救灾资金筹集和拨付；银行、保险等部门组织做好金融服务和保险理赔。</w:t>
      </w:r>
    </w:p>
    <w:p w14:paraId="4476B4B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在道路、供水、供电、供气、通讯等全部抢通前，住建、交通运输、水利、城管、电力、通信等有关成员单位必须派员驻守旗防指。力争灾害发生后2天内完成环境清理恢复，3天内全面恢复供电、供水和通讯，主要道路5天内全面恢复通车。</w:t>
      </w:r>
    </w:p>
    <w:p w14:paraId="7B6E62C4">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第八章　监督考核</w:t>
      </w:r>
    </w:p>
    <w:p w14:paraId="6B72B27B">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第五十八条　旗防指及其成员单位贯彻执行市防指、</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决策，严格遵守工作纪律，严格执行工作制度，严格落实工作部署。</w:t>
      </w:r>
    </w:p>
    <w:p w14:paraId="0C5759AB">
      <w:pPr>
        <w:widowControl/>
        <w:adjustRightInd w:val="0"/>
        <w:snapToGrid w:val="0"/>
        <w:ind w:firstLine="640"/>
        <w:rPr>
          <w:rFonts w:hint="eastAsia" w:ascii="仿宋_GB2312" w:hAnsi="宋体" w:eastAsia="仿宋_GB2312"/>
          <w:sz w:val="32"/>
          <w:szCs w:val="32"/>
        </w:rPr>
      </w:pPr>
      <w:r>
        <w:rPr>
          <w:rFonts w:hint="eastAsia" w:ascii="仿宋_GB2312" w:hAnsi="宋体" w:eastAsia="仿宋_GB2312"/>
          <w:sz w:val="32"/>
          <w:szCs w:val="32"/>
        </w:rPr>
        <w:t>第五十九条　旗防指对各苏木乡镇（街道）和旗防指成员单位值班值守、风险排查、隐患整改、措施落实、信息报送等工作开展督查，对督查情况进行通报。</w:t>
      </w:r>
    </w:p>
    <w:p w14:paraId="4352EF1E">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第六十条　把防汛抗旱工作纳入各级年度工作目标考核体系，对成绩突出的单位和个人给予表彰和奖励，对工作失职、造成损失的依法依纪严肃处理。</w:t>
      </w:r>
    </w:p>
    <w:p w14:paraId="3E30F00D">
      <w:pPr>
        <w:widowControl/>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第九章　附  则</w:t>
      </w:r>
    </w:p>
    <w:p w14:paraId="14CE4C01">
      <w:pPr>
        <w:widowControl/>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第六十一条　旗防指成员单位和各苏木乡镇（街道）应根据本规则和部门职责，结合当地实际制定相应的工作规则。当防汛抗旱相关法律法规修改后，部门职责发生改变，或在实际工作中出现新情况新问题时，应及时修订完善。</w:t>
      </w:r>
    </w:p>
    <w:p w14:paraId="7D1FB055">
      <w:pPr>
        <w:widowControl/>
        <w:adjustRightInd w:val="0"/>
        <w:snapToGrid w:val="0"/>
        <w:ind w:firstLine="0" w:firstLineChars="0"/>
        <w:rPr>
          <w:rFonts w:ascii="仿宋_GB2312" w:hAnsi="宋体" w:eastAsia="仿宋_GB2312"/>
          <w:sz w:val="32"/>
          <w:szCs w:val="32"/>
        </w:rPr>
      </w:pPr>
      <w:r>
        <w:rPr>
          <w:rFonts w:hint="eastAsia" w:ascii="仿宋_GB2312" w:hAnsi="宋体" w:eastAsia="仿宋_GB2312"/>
          <w:sz w:val="32"/>
          <w:szCs w:val="32"/>
        </w:rPr>
        <w:t>本规则自印发之日起实施。</w:t>
      </w:r>
    </w:p>
    <w:p w14:paraId="3F50BB57">
      <w:pPr>
        <w:widowControl/>
        <w:adjustRightInd w:val="0"/>
        <w:snapToGrid w:val="0"/>
        <w:ind w:firstLine="0" w:firstLineChars="0"/>
        <w:rPr>
          <w:rFonts w:ascii="仿宋_GB2312" w:hAnsi="宋体" w:eastAsia="仿宋_GB2312"/>
          <w:sz w:val="32"/>
          <w:szCs w:val="32"/>
        </w:rPr>
      </w:pPr>
    </w:p>
    <w:p w14:paraId="65C99769">
      <w:pPr>
        <w:adjustRightInd w:val="0"/>
        <w:snapToGrid w:val="0"/>
        <w:ind w:firstLine="640"/>
        <w:outlineLvl w:val="3"/>
        <w:rPr>
          <w:rFonts w:hint="eastAsia" w:ascii="宋体" w:hAnsi="宋体"/>
          <w:kern w:val="0"/>
          <w:sz w:val="32"/>
          <w:szCs w:val="32"/>
          <w:shd w:val="clear" w:color="auto" w:fill="FFFFFF"/>
        </w:rPr>
      </w:pPr>
    </w:p>
    <w:p w14:paraId="02FFD796">
      <w:pPr>
        <w:adjustRightInd w:val="0"/>
        <w:snapToGrid w:val="0"/>
        <w:ind w:firstLine="640"/>
        <w:outlineLvl w:val="3"/>
        <w:rPr>
          <w:rFonts w:hint="eastAsia" w:ascii="宋体" w:hAnsi="宋体"/>
          <w:kern w:val="0"/>
          <w:sz w:val="32"/>
          <w:szCs w:val="32"/>
          <w:shd w:val="clear" w:color="auto" w:fill="FFFFFF"/>
        </w:rPr>
      </w:pPr>
    </w:p>
    <w:p w14:paraId="396F06A1">
      <w:pPr>
        <w:adjustRightInd w:val="0"/>
        <w:snapToGrid w:val="0"/>
        <w:ind w:firstLine="640"/>
        <w:outlineLvl w:val="3"/>
        <w:rPr>
          <w:rFonts w:hint="eastAsia" w:ascii="宋体" w:hAnsi="宋体"/>
          <w:kern w:val="0"/>
          <w:sz w:val="32"/>
          <w:szCs w:val="32"/>
          <w:shd w:val="clear" w:color="auto" w:fill="FFFFFF"/>
        </w:rPr>
      </w:pPr>
    </w:p>
    <w:p w14:paraId="64A81D53">
      <w:pPr>
        <w:adjustRightInd w:val="0"/>
        <w:snapToGrid w:val="0"/>
        <w:ind w:firstLine="640"/>
        <w:outlineLvl w:val="3"/>
        <w:rPr>
          <w:rFonts w:hint="eastAsia" w:ascii="宋体" w:hAnsi="宋体"/>
          <w:kern w:val="0"/>
          <w:sz w:val="32"/>
          <w:szCs w:val="32"/>
          <w:shd w:val="clear" w:color="auto" w:fill="FFFFFF"/>
        </w:rPr>
      </w:pPr>
    </w:p>
    <w:p w14:paraId="7210A769">
      <w:pPr>
        <w:adjustRightInd w:val="0"/>
        <w:snapToGrid w:val="0"/>
        <w:ind w:firstLine="640"/>
        <w:outlineLvl w:val="3"/>
        <w:rPr>
          <w:rFonts w:hint="eastAsia" w:ascii="宋体" w:hAnsi="宋体"/>
          <w:kern w:val="0"/>
          <w:sz w:val="32"/>
          <w:szCs w:val="32"/>
          <w:shd w:val="clear" w:color="auto" w:fill="FFFFFF"/>
        </w:rPr>
      </w:pPr>
    </w:p>
    <w:p w14:paraId="20BD1EEB">
      <w:pPr>
        <w:adjustRightInd w:val="0"/>
        <w:snapToGrid w:val="0"/>
        <w:ind w:firstLine="640"/>
        <w:outlineLvl w:val="3"/>
        <w:rPr>
          <w:rFonts w:hint="eastAsia" w:ascii="宋体" w:hAnsi="宋体"/>
          <w:kern w:val="0"/>
          <w:sz w:val="32"/>
          <w:szCs w:val="32"/>
          <w:shd w:val="clear" w:color="auto" w:fill="FFFFFF"/>
        </w:rPr>
      </w:pPr>
    </w:p>
    <w:p w14:paraId="7CFF5804">
      <w:pPr>
        <w:adjustRightInd w:val="0"/>
        <w:snapToGrid w:val="0"/>
        <w:ind w:firstLine="640"/>
        <w:outlineLvl w:val="3"/>
        <w:rPr>
          <w:rFonts w:hint="eastAsia" w:ascii="宋体" w:hAnsi="宋体"/>
          <w:kern w:val="0"/>
          <w:sz w:val="32"/>
          <w:szCs w:val="32"/>
          <w:shd w:val="clear" w:color="auto" w:fill="FFFFFF"/>
        </w:rPr>
      </w:pPr>
    </w:p>
    <w:p w14:paraId="126A0F04">
      <w:pPr>
        <w:adjustRightInd w:val="0"/>
        <w:snapToGrid w:val="0"/>
        <w:ind w:firstLine="640"/>
        <w:outlineLvl w:val="3"/>
        <w:rPr>
          <w:rFonts w:hint="eastAsia" w:ascii="宋体" w:hAnsi="宋体"/>
          <w:kern w:val="0"/>
          <w:sz w:val="32"/>
          <w:szCs w:val="32"/>
          <w:shd w:val="clear" w:color="auto" w:fill="FFFFFF"/>
        </w:rPr>
      </w:pPr>
    </w:p>
    <w:p w14:paraId="1419442D">
      <w:pPr>
        <w:adjustRightInd w:val="0"/>
        <w:snapToGrid w:val="0"/>
        <w:ind w:firstLine="640"/>
        <w:outlineLvl w:val="3"/>
        <w:rPr>
          <w:rFonts w:hint="eastAsia" w:ascii="宋体" w:hAnsi="宋体"/>
          <w:kern w:val="0"/>
          <w:sz w:val="32"/>
          <w:szCs w:val="32"/>
          <w:shd w:val="clear" w:color="auto" w:fill="FFFFFF"/>
        </w:rPr>
      </w:pPr>
    </w:p>
    <w:p w14:paraId="5AD78669">
      <w:pPr>
        <w:adjustRightInd w:val="0"/>
        <w:snapToGrid w:val="0"/>
        <w:ind w:firstLine="640"/>
        <w:outlineLvl w:val="3"/>
        <w:rPr>
          <w:rFonts w:hint="eastAsia" w:ascii="宋体" w:hAnsi="宋体"/>
          <w:kern w:val="0"/>
          <w:sz w:val="32"/>
          <w:szCs w:val="32"/>
          <w:shd w:val="clear" w:color="auto" w:fill="FFFFFF"/>
        </w:rPr>
      </w:pPr>
    </w:p>
    <w:p w14:paraId="33BB3D78">
      <w:pPr>
        <w:adjustRightInd w:val="0"/>
        <w:snapToGrid w:val="0"/>
        <w:ind w:firstLine="640"/>
        <w:outlineLvl w:val="3"/>
        <w:rPr>
          <w:rFonts w:hint="eastAsia" w:ascii="宋体" w:hAnsi="宋体"/>
          <w:kern w:val="0"/>
          <w:sz w:val="32"/>
          <w:szCs w:val="32"/>
          <w:shd w:val="clear" w:color="auto" w:fill="FFFFFF"/>
        </w:rPr>
      </w:pPr>
    </w:p>
    <w:p w14:paraId="69F2AFE6">
      <w:pPr>
        <w:adjustRightInd w:val="0"/>
        <w:snapToGrid w:val="0"/>
        <w:ind w:firstLine="640"/>
        <w:outlineLvl w:val="3"/>
        <w:rPr>
          <w:rFonts w:hint="eastAsia" w:ascii="宋体" w:hAnsi="宋体"/>
          <w:kern w:val="0"/>
          <w:sz w:val="32"/>
          <w:szCs w:val="32"/>
          <w:shd w:val="clear" w:color="auto" w:fill="FFFFFF"/>
        </w:rPr>
      </w:pPr>
    </w:p>
    <w:p w14:paraId="5F510160">
      <w:pPr>
        <w:adjustRightInd w:val="0"/>
        <w:snapToGrid w:val="0"/>
        <w:ind w:firstLine="640"/>
        <w:outlineLvl w:val="3"/>
        <w:rPr>
          <w:rFonts w:hint="eastAsia" w:ascii="宋体" w:hAnsi="宋体"/>
          <w:kern w:val="0"/>
          <w:sz w:val="32"/>
          <w:szCs w:val="32"/>
          <w:shd w:val="clear" w:color="auto" w:fill="FFFFFF"/>
        </w:rPr>
      </w:pPr>
    </w:p>
    <w:p w14:paraId="7397056D">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3" w:name="_Toc6730"/>
      <w:r>
        <w:rPr>
          <w:rFonts w:hint="eastAsia" w:ascii="仿宋_GB2312" w:hAnsi="仿宋_GB2312" w:eastAsia="仿宋_GB2312" w:cs="仿宋_GB2312"/>
          <w:b w:val="0"/>
          <w:bCs/>
          <w:sz w:val="32"/>
          <w:szCs w:val="32"/>
        </w:rPr>
        <w:t>附件2：《应急管理网格化建设和网格员管理办法》</w:t>
      </w:r>
      <w:bookmarkEnd w:id="643"/>
    </w:p>
    <w:p w14:paraId="62D568C3">
      <w:pPr>
        <w:widowControl/>
        <w:adjustRightInd w:val="0"/>
        <w:snapToGrid w:val="0"/>
        <w:ind w:firstLine="0" w:firstLineChars="0"/>
        <w:jc w:val="center"/>
        <w:rPr>
          <w:rFonts w:ascii="宋体" w:hAnsi="宋体"/>
          <w:bCs/>
          <w:color w:val="212121"/>
          <w:kern w:val="0"/>
          <w:sz w:val="44"/>
          <w:szCs w:val="44"/>
        </w:rPr>
      </w:pPr>
    </w:p>
    <w:p w14:paraId="28E7596C">
      <w:pPr>
        <w:widowControl/>
        <w:adjustRightInd w:val="0"/>
        <w:snapToGrid w:val="0"/>
        <w:ind w:firstLine="0" w:firstLineChars="0"/>
        <w:jc w:val="center"/>
        <w:rPr>
          <w:rFonts w:hint="eastAsia" w:ascii="方正大标宋简体" w:hAnsi="宋体" w:eastAsia="方正大标宋简体"/>
          <w:bCs/>
          <w:color w:val="212121"/>
          <w:kern w:val="0"/>
          <w:sz w:val="44"/>
          <w:szCs w:val="44"/>
        </w:rPr>
      </w:pPr>
      <w:r>
        <w:rPr>
          <w:rFonts w:hint="eastAsia" w:ascii="方正大标宋简体" w:hAnsi="宋体" w:eastAsia="方正大标宋简体"/>
          <w:bCs/>
          <w:color w:val="212121"/>
          <w:kern w:val="0"/>
          <w:sz w:val="44"/>
          <w:szCs w:val="44"/>
        </w:rPr>
        <w:t>应急管理网格化建设和网格员管理办法</w:t>
      </w:r>
    </w:p>
    <w:p w14:paraId="0CF86560">
      <w:pPr>
        <w:widowControl/>
        <w:shd w:val="clear" w:color="auto" w:fill="FFFFFF"/>
        <w:adjustRightInd w:val="0"/>
        <w:snapToGrid w:val="0"/>
        <w:ind w:firstLine="0" w:firstLineChars="0"/>
        <w:jc w:val="center"/>
        <w:rPr>
          <w:rFonts w:ascii="宋体" w:hAnsi="宋体"/>
          <w:sz w:val="32"/>
          <w:szCs w:val="32"/>
        </w:rPr>
      </w:pPr>
    </w:p>
    <w:p w14:paraId="2A79147C">
      <w:pPr>
        <w:widowControl/>
        <w:shd w:val="clear" w:color="auto" w:fill="FFFFFF"/>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第一章  总  则</w:t>
      </w:r>
    </w:p>
    <w:p w14:paraId="7468F2D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第一条  为深入推进我旗应急管理网格化建设和网格员管理工作，根据《克什克腾旗网格员管理办法》和《克什克腾旗农村牧区网格员管理细则》，全面构建应急管理感知网络，全面提升风险隐患早期感知、早期识别、早期预警、早期发布能力，结合应急管理工作实际，制定本办法。</w:t>
      </w:r>
    </w:p>
    <w:p w14:paraId="76FDF1A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第二条  本办法所称网格员，由旗应急管理局、苏木乡镇（街道）从事或承担应急管理工作的人员，以及《克什克腾旗农村牧区网格员管理细则》中的网格员设置组成。</w:t>
      </w:r>
    </w:p>
    <w:p w14:paraId="60557C4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第三条  旗级、苏木乡镇（街道）网格员由旗应急管理局根据工作实际和职责职能确定。嘎查村（社区）网格员在《克什克腾旗网格员管理办法》基础上，赋予更清晰的应急管理职责任务，并向全旗网格管理提供更为客观准确的考核评议依据。</w:t>
      </w:r>
    </w:p>
    <w:p w14:paraId="75EAC4D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第四条  旗应急管理局负责旗级、苏木乡镇（街道）网格员的确定使用、学习培训和协调管理，所涉人员均为国家工作人员，不再发放薪酬。</w:t>
      </w:r>
    </w:p>
    <w:p w14:paraId="4879436E">
      <w:pPr>
        <w:widowControl/>
        <w:shd w:val="clear" w:color="auto" w:fill="FFFFFF"/>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第二章  网格设置</w:t>
      </w:r>
    </w:p>
    <w:p w14:paraId="1B4CF3D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第五条  应急管理网格员划分为旗级、苏木乡镇（街道）、嘎查村（社区）、村民组四级。旗应急管理局各职能股室作为一级（旗级）网格，按职责分别确定1名网格长；苏木乡镇人民政府（街道管理办公室）作为二级网格，由承担应急管理职责的分管领导和承担相应应急管理工作相关站所分别确定1名网格员；嘎查村和村民组作为三级和四级网格，完全依照《克什克腾旗网格员管理办法》所确定的网格员。</w:t>
      </w:r>
    </w:p>
    <w:p w14:paraId="69B670A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第六条  旗级、苏木乡镇（街道）网格员由所在单位根据工作需要确定，名单报旗应急管理局备案；嘎查村（社区）和组级网格员名单由苏木乡镇（街道）报旗应急管理局备案。因工作变动和人员变化，苏木乡镇网格员名单及时进行动态调整和备案。</w:t>
      </w:r>
    </w:p>
    <w:p w14:paraId="31DEA9A6">
      <w:pPr>
        <w:widowControl/>
        <w:shd w:val="clear" w:color="auto" w:fill="FFFFFF"/>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第三章  职责任务</w:t>
      </w:r>
    </w:p>
    <w:p w14:paraId="6DAB118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第七条  网格员在旗级网格长统一安排下，承办本地区（辖区）安全生产、防灾减灾救灾、应急救援等方面的信息采集、隐患排查、安全防范、应急处置、宣传教育等服务管理工作，接受本地区群众监督。</w:t>
      </w:r>
    </w:p>
    <w:p w14:paraId="038D63D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第八条  旗级网格长由应急管理局安委办调度室、矿山股、危化股、防灾减灾股、应急救援股、综合股主要负责人担任。</w:t>
      </w:r>
    </w:p>
    <w:p w14:paraId="07510BC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（一）承担网格指导员工作。主要指导苏木乡镇（街道）网格员开展网格工作。指导实施 “六加一”（绘好一张网格图、定好一本职责簿、填好一张报告表、建好</w:t>
      </w:r>
      <w:r>
        <w:rPr>
          <w:rFonts w:hint="eastAsia" w:ascii="仿宋_GB2312" w:hAnsi="宋体" w:eastAsia="仿宋_GB2312"/>
          <w:sz w:val="32"/>
          <w:szCs w:val="32"/>
          <w:lang w:eastAsia="zh-CN"/>
        </w:rPr>
        <w:t>一份</w:t>
      </w:r>
      <w:r>
        <w:rPr>
          <w:rFonts w:hint="eastAsia" w:ascii="仿宋_GB2312" w:hAnsi="宋体" w:eastAsia="仿宋_GB2312"/>
          <w:sz w:val="32"/>
          <w:szCs w:val="32"/>
        </w:rPr>
        <w:t xml:space="preserve">履职单、记好一个纪实本、挂好一张公示牌，用好微信网格群）网格创建。 </w:t>
      </w:r>
    </w:p>
    <w:p w14:paraId="7EB2AC0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（二）建立网格沟通联络机制，统筹组建应急管理网格微信工作群。</w:t>
      </w:r>
    </w:p>
    <w:p w14:paraId="5F6028F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（三）制定完善并动态调整《应急管理网格员工作职责清单》，制定网格信息报送流程，制作《巡查记录表》《风险隐患排查登记表》《应急管理网格员信息报告表》。</w:t>
      </w:r>
    </w:p>
    <w:p w14:paraId="040BF16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（四）负责网格内问题的协调处置工作，参与处置网格内发生的事项。</w:t>
      </w:r>
    </w:p>
    <w:p w14:paraId="6EFCBD8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（五）及时传达上级和本级党委、政府有关安全生产、防灾减灾救灾、应急救援工作的安排部署。</w:t>
      </w:r>
    </w:p>
    <w:p w14:paraId="41A2AE7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掌握网格内安全生产、防灾减灾救灾、应急救援工作状况，特别是非煤矿山、危险化学品、烟花爆竹、建筑施工、道路运输、消防、森林草原防火、防汛、地质灾害隐患点及高发区等重大风险隐患情况，收集统计各类灾害信息。</w:t>
      </w:r>
    </w:p>
    <w:p w14:paraId="6C5405C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对基层网格员上报的，苏木乡镇人民政府（街道管理办公室）有能力及时处置的问题进行登记备案，形成信息报分管领导知晓参阅；对二级网格及以下不能处置的，要形成问题信息并提出初步处理意见报分管领导和主要领导研判处置。同时，做好问题处置的督促、协调、落实结果反馈和信息归档工作。</w:t>
      </w:r>
    </w:p>
    <w:p w14:paraId="4B698C5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（八）做好网格员定期培训工作，持续提高网格员发现问题的能力，让网格员会检查、会记录、会报告。</w:t>
      </w:r>
    </w:p>
    <w:p w14:paraId="068D5B4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第九条  二级网格由苏木乡镇人民政府（街道管理办公室）承担应急管理职责的分管领导和承担相应应急管理工作相关站所主要负责人担任。</w:t>
      </w:r>
    </w:p>
    <w:p w14:paraId="4AF7F8E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（一）负责及时传达上级党委、政府有关安全生产、防灾减灾救灾、应急救援工作的安排部署。</w:t>
      </w:r>
    </w:p>
    <w:p w14:paraId="4BB70EE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（二）负责本地区（辖区）网格内关于安全生产、防灾减灾救灾、应急救援工作巡查走访、任务落实等日常信息的收集、整理和报送。</w:t>
      </w:r>
    </w:p>
    <w:p w14:paraId="2F58955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全面掌握网格内安全生产、防灾减灾救灾、应急救援工作状况，特别是非煤矿山、危险化学品、烟花爆竹、建筑施工、道路运输、消防、森林草原防火、防汛、地质灾害隐患点及高发区等重大风险隐患情况。收集统计上报各类灾害信息。</w:t>
      </w:r>
    </w:p>
    <w:p w14:paraId="7B96A15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（四）指导嘎查村（社区）开展网格工作，负责网格内问题的协调处置工作，并回复处理情况。处置不了的按照职责职能上报一级网格员，并跟踪处置情况。</w:t>
      </w:r>
    </w:p>
    <w:p w14:paraId="00C5681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（五）二级网格员要对下级网格员开展教育培训、日常管理和监督考核，推进嘎查村（社区）网格员履职尽责。</w:t>
      </w:r>
    </w:p>
    <w:p w14:paraId="20FF5A5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（六）对网格内发生的事故灾害及时报告，保护现场并积极协助相关部门调查处理，做好群众、受害者亲属工作和善后工作，确保社会稳定。</w:t>
      </w:r>
    </w:p>
    <w:p w14:paraId="23C5564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第十条  三级、四级网格员执行《克什克腾旗网格员管理办法》和《克什克腾旗农村牧区网格员管理细则》设置。在应急管理网格化管理工作中主要承担巡查、先期处置、监督、劝导、宣传、信息上报等职责，具体工作结合《克什克腾旗农村牧区网格员管理细则》“网格服务管理任务清单”要求，按本办法所附《应急管理网格员工作职责清单》执行。</w:t>
      </w:r>
    </w:p>
    <w:p w14:paraId="61DEAAC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（一）负责巡查工作。按《应急管理网格员工作职责清单》定期开展巡查工作。填写《巡查记录表》、《风险隐患排查登记表》，建立管理台账。</w:t>
      </w:r>
    </w:p>
    <w:p w14:paraId="2289FB8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负责信息上报下达工作。发生突发事件时，及时向上一级网格报送有关情况。按《应急管理网格员工作职责清单》上报有关信息，填写《应急管理网格员信息报告表》。接到上级自然灾害预警时，及时将预警信息向下一级网格及本网格内有关单元传达。承担各类灾害信息收集统计上报工作。</w:t>
      </w:r>
    </w:p>
    <w:p w14:paraId="5ECDDF7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负责前期处置工作。对巡查发现问题、网格内存在的各类安全风险隐患等可能导致灾害、事故的苗头性问题，组织开展报告、救援、疏散人群、抢险、抢救、应急处置等先期处置，防止事态扩大，防止次生、衍生事件发生。</w:t>
      </w:r>
    </w:p>
    <w:p w14:paraId="538D8FB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（四）负责宣传工作。经常性宣传安全生产、防灾减灾救灾、应急救援等法律法规、方针政策和各级</w:t>
      </w:r>
      <w:r>
        <w:rPr>
          <w:rFonts w:hint="eastAsia" w:ascii="仿宋_GB2312" w:hAnsi="宋体" w:eastAsia="仿宋_GB2312"/>
          <w:sz w:val="32"/>
          <w:szCs w:val="32"/>
          <w:lang w:eastAsia="zh-CN"/>
        </w:rPr>
        <w:t>党委、政府</w:t>
      </w:r>
      <w:r>
        <w:rPr>
          <w:rFonts w:hint="eastAsia" w:ascii="仿宋_GB2312" w:hAnsi="宋体" w:eastAsia="仿宋_GB2312"/>
          <w:sz w:val="32"/>
          <w:szCs w:val="32"/>
        </w:rPr>
        <w:t>相关要求，普及安全生产、防灾减灾救灾、消防安全、森林草原防火、防汛抗旱、应急救援和自救互救常识，提升公众风险防范意识、自救互救能力。</w:t>
      </w:r>
    </w:p>
    <w:p w14:paraId="2707434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负责监督劝导工作。负责对各种违法非法、违规违章行为进行监督。对发现的各类风险隐患和非法违法生产经营行为，进行及时劝导制止。对不配合、不整改的人员、单位立即向上级网格报告，及时消除隐患。</w:t>
      </w:r>
    </w:p>
    <w:p w14:paraId="7BD8A088">
      <w:pPr>
        <w:widowControl/>
        <w:shd w:val="clear" w:color="auto" w:fill="FFFFFF"/>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第四章  工作制度</w:t>
      </w:r>
    </w:p>
    <w:p w14:paraId="5F1B9CA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第十一条  工作例会制度。应急管理网格化工作会议每半年召开一次，必要时可组织部分苏木乡镇（街道）和相关部门就某项问题召开专门会议，研究解决事关网格治理和网格内反映的有关事宜。</w:t>
      </w:r>
    </w:p>
    <w:p w14:paraId="4B44217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第十二条  教育培训制度。针对应急管理网格工作特殊要求，通过以会代训、集中培训、现场指导等方式对网格员进行培训；借助旗级或各苏木乡镇（街道）组织的网格员集中培训的时机和平台，嵌入应急管理网格工作培训内容。</w:t>
      </w:r>
    </w:p>
    <w:p w14:paraId="665D08E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第十三条  考核考评制度。建立应急管理网格员工作实绩考核细则，纳入《克什克腾旗网格员管理办法》所规定的考核体系，同时纳入苏木乡镇（街道）应急管理工作年度实绩考核内容。</w:t>
      </w:r>
    </w:p>
    <w:p w14:paraId="04C3DCF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第十四条  其他有关制度执行《克什克腾旗网格员管理办法》规定的工作制度内容。</w:t>
      </w:r>
    </w:p>
    <w:p w14:paraId="51364FC2">
      <w:pPr>
        <w:widowControl/>
        <w:shd w:val="clear" w:color="auto" w:fill="FFFFFF"/>
        <w:adjustRightInd w:val="0"/>
        <w:snapToGrid w:val="0"/>
        <w:ind w:firstLine="0" w:firstLineChars="0"/>
        <w:jc w:val="center"/>
        <w:rPr>
          <w:rFonts w:ascii="黑体" w:hAnsi="黑体" w:eastAsia="黑体"/>
          <w:sz w:val="32"/>
          <w:szCs w:val="32"/>
        </w:rPr>
      </w:pPr>
      <w:r>
        <w:rPr>
          <w:rFonts w:hint="eastAsia" w:ascii="黑体" w:hAnsi="黑体" w:eastAsia="黑体"/>
          <w:sz w:val="32"/>
          <w:szCs w:val="32"/>
        </w:rPr>
        <w:t>第五章  附  则</w:t>
      </w:r>
    </w:p>
    <w:p w14:paraId="1A53553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第十五条  本办法由克旗应急管理局负责解释。</w:t>
      </w:r>
    </w:p>
    <w:p w14:paraId="0EDCB34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第十六条  本办法</w:t>
      </w:r>
      <w:r>
        <w:rPr>
          <w:rFonts w:hint="eastAsia" w:ascii="仿宋_GB2312" w:hAnsi="宋体" w:eastAsia="仿宋_GB2312"/>
          <w:sz w:val="32"/>
          <w:szCs w:val="32"/>
          <w:lang w:eastAsia="zh-CN"/>
        </w:rPr>
        <w:t>自</w:t>
      </w:r>
      <w:r>
        <w:rPr>
          <w:rFonts w:hint="eastAsia" w:ascii="仿宋_GB2312" w:hAnsi="宋体" w:eastAsia="仿宋_GB2312"/>
          <w:sz w:val="32"/>
          <w:szCs w:val="32"/>
        </w:rPr>
        <w:t>发布之日起施行。</w:t>
      </w:r>
    </w:p>
    <w:p w14:paraId="7F5FD7C8">
      <w:pPr>
        <w:pStyle w:val="26"/>
        <w:snapToGrid w:val="0"/>
        <w:spacing w:line="560" w:lineRule="exact"/>
        <w:rPr>
          <w:rFonts w:ascii="宋体" w:hAnsi="宋体" w:eastAsia="宋体" w:cs="宋体"/>
          <w:sz w:val="32"/>
          <w:szCs w:val="32"/>
        </w:rPr>
      </w:pPr>
    </w:p>
    <w:p w14:paraId="51DE776F">
      <w:pPr>
        <w:adjustRightInd w:val="0"/>
        <w:snapToGrid w:val="0"/>
        <w:ind w:firstLine="640"/>
        <w:rPr>
          <w:rFonts w:ascii="宋体" w:hAnsi="宋体"/>
          <w:kern w:val="0"/>
          <w:sz w:val="32"/>
          <w:szCs w:val="32"/>
        </w:rPr>
      </w:pPr>
      <w:r>
        <w:rPr>
          <w:rFonts w:hint="eastAsia" w:ascii="宋体" w:hAnsi="宋体"/>
          <w:kern w:val="0"/>
          <w:sz w:val="32"/>
          <w:szCs w:val="32"/>
        </w:rPr>
        <w:br w:type="page"/>
      </w:r>
    </w:p>
    <w:p w14:paraId="74A1BDEE">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4" w:name="_Toc28630"/>
      <w:r>
        <w:rPr>
          <w:rFonts w:hint="eastAsia" w:ascii="仿宋_GB2312" w:hAnsi="仿宋_GB2312" w:eastAsia="仿宋_GB2312" w:cs="仿宋_GB2312"/>
          <w:b w:val="0"/>
          <w:bCs/>
          <w:sz w:val="32"/>
          <w:szCs w:val="32"/>
        </w:rPr>
        <w:t>附件3：《旗防汛抗旱指挥部工作组职责及组成单位》</w:t>
      </w:r>
      <w:bookmarkEnd w:id="644"/>
    </w:p>
    <w:p w14:paraId="4F7DB0BA">
      <w:pPr>
        <w:adjustRightInd w:val="0"/>
        <w:snapToGrid w:val="0"/>
        <w:ind w:firstLine="880"/>
        <w:jc w:val="center"/>
        <w:rPr>
          <w:rFonts w:ascii="宋体" w:hAnsi="宋体"/>
          <w:sz w:val="44"/>
          <w:szCs w:val="44"/>
        </w:rPr>
      </w:pPr>
    </w:p>
    <w:p w14:paraId="69EDDFA7">
      <w:pPr>
        <w:widowControl/>
        <w:adjustRightInd w:val="0"/>
        <w:snapToGrid w:val="0"/>
        <w:ind w:firstLine="0" w:firstLineChars="0"/>
        <w:jc w:val="center"/>
        <w:rPr>
          <w:rFonts w:hint="eastAsia" w:ascii="方正大标宋简体" w:hAnsi="宋体" w:eastAsia="方正大标宋简体"/>
          <w:bCs/>
          <w:color w:val="212121"/>
          <w:kern w:val="0"/>
          <w:sz w:val="44"/>
          <w:szCs w:val="44"/>
        </w:rPr>
      </w:pPr>
      <w:r>
        <w:rPr>
          <w:rFonts w:hint="eastAsia" w:ascii="方正大标宋简体" w:hAnsi="宋体" w:eastAsia="方正大标宋简体"/>
          <w:bCs/>
          <w:color w:val="212121"/>
          <w:kern w:val="0"/>
          <w:sz w:val="44"/>
          <w:szCs w:val="44"/>
        </w:rPr>
        <w:t>旗防汛抗旱指挥部工作组职责及组成单位</w:t>
      </w:r>
    </w:p>
    <w:p w14:paraId="1B30B49C">
      <w:pPr>
        <w:adjustRightInd w:val="0"/>
        <w:snapToGrid w:val="0"/>
        <w:ind w:firstLine="640"/>
        <w:jc w:val="center"/>
        <w:rPr>
          <w:rFonts w:ascii="宋体" w:hAnsi="宋体"/>
          <w:sz w:val="32"/>
          <w:szCs w:val="32"/>
        </w:rPr>
      </w:pPr>
    </w:p>
    <w:p w14:paraId="173225E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旗防指根据防汛抗旱应急响应需要设立专项工作组。各专项工作在旗防指的统一领导下开展水旱灾害应急处置。</w:t>
      </w:r>
    </w:p>
    <w:p w14:paraId="26B1EFC2">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一、综合协调组</w:t>
      </w:r>
    </w:p>
    <w:p w14:paraId="263A179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组长单位：应急管理局、水利局</w:t>
      </w:r>
    </w:p>
    <w:p w14:paraId="6C542F7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成员单位：住房和城乡建设局、自然资源局、交通运输局、气象局</w:t>
      </w:r>
    </w:p>
    <w:p w14:paraId="062F653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工作职责：传达贯彻党</w:t>
      </w:r>
      <w:r>
        <w:rPr>
          <w:rFonts w:hint="eastAsia" w:ascii="仿宋_GB2312" w:hAnsi="宋体" w:eastAsia="仿宋_GB2312"/>
          <w:sz w:val="32"/>
          <w:szCs w:val="32"/>
          <w:lang w:eastAsia="zh-CN"/>
        </w:rPr>
        <w:t>中央</w:t>
      </w:r>
      <w:r>
        <w:rPr>
          <w:rFonts w:hint="eastAsia" w:ascii="仿宋_GB2312" w:hAnsi="宋体" w:eastAsia="仿宋_GB2312"/>
          <w:sz w:val="32"/>
          <w:szCs w:val="32"/>
        </w:rPr>
        <w:t>、国务院，自治区党委政府、</w:t>
      </w:r>
      <w:r>
        <w:rPr>
          <w:rFonts w:hint="eastAsia" w:ascii="仿宋_GB2312" w:hAnsi="宋体" w:eastAsia="仿宋_GB2312"/>
          <w:sz w:val="32"/>
          <w:szCs w:val="32"/>
          <w:lang w:eastAsia="zh-CN"/>
        </w:rPr>
        <w:t>市委市政府</w:t>
      </w:r>
      <w:r>
        <w:rPr>
          <w:rFonts w:hint="eastAsia" w:ascii="仿宋_GB2312" w:hAnsi="宋体" w:eastAsia="仿宋_GB2312"/>
          <w:sz w:val="32"/>
          <w:szCs w:val="32"/>
        </w:rPr>
        <w:t>和</w:t>
      </w:r>
      <w:r>
        <w:rPr>
          <w:rFonts w:hint="eastAsia" w:ascii="仿宋_GB2312" w:hAnsi="宋体" w:eastAsia="仿宋_GB2312"/>
          <w:sz w:val="32"/>
          <w:szCs w:val="32"/>
          <w:lang w:eastAsia="zh-CN"/>
        </w:rPr>
        <w:t>旗委旗政府</w:t>
      </w:r>
      <w:r>
        <w:rPr>
          <w:rFonts w:hint="eastAsia" w:ascii="仿宋_GB2312" w:hAnsi="宋体" w:eastAsia="仿宋_GB2312"/>
          <w:sz w:val="32"/>
          <w:szCs w:val="32"/>
        </w:rPr>
        <w:t>指示、部署、要求；负责组织应急响应状态下的综合会商；调度、汇总、报告灾险情动态和应急工作进展情况。完成旗防指交办的其他任务。</w:t>
      </w:r>
    </w:p>
    <w:p w14:paraId="5174B139">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二、监测预警组</w:t>
      </w:r>
    </w:p>
    <w:p w14:paraId="3364966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组长单位：气象局</w:t>
      </w:r>
      <w:bookmarkStart w:id="665" w:name="_GoBack"/>
      <w:bookmarkEnd w:id="665"/>
    </w:p>
    <w:p w14:paraId="3DDBA850">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成员单位：水利局、文水站、自然资源局、农牧局、住房和城乡建设局</w:t>
      </w:r>
    </w:p>
    <w:p w14:paraId="115616E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负责对天气形势、河道洪水、城市内涝、干旱情况进行监测、预报，为旗防指及时提供准确的雨情和短、中期天气预报、短期气候趋势预测等气象信息和水文信息，提出突发灾害性天气信息、气象灾害预警信息发布建议，做好暴雨、干旱等灾害影响评估。负责市域内雨水情测报、洪水预报、提前预判洪水影响，提出预警信息，及时向旗防指通报雨水情及洪水预警信息，根据防指要求开设临时观测站点，并做好重要点位雨水情信息加报；完成旗防指交办的其他工作。</w:t>
      </w:r>
    </w:p>
    <w:p w14:paraId="2E2413EF">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三、工程调度组</w:t>
      </w:r>
    </w:p>
    <w:p w14:paraId="409A46D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组长单位：水利局</w:t>
      </w:r>
    </w:p>
    <w:p w14:paraId="6F73E577">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成员单位：应急管理局、气象局、各重要水利工程管理单位</w:t>
      </w:r>
    </w:p>
    <w:p w14:paraId="5990AA0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负责掌握我旗及与我旗相关的流域防洪工程工情、雨水情、调度方案执行等基本情况；掌握重点水库、重点堤防工程及重要山洪沟的工情险情信息；指导责任部门制定除险加固措施和抢险方案，督促、指导相关地区做好水库洪水资源调度工作；根据汛情发展变化及时上报各水利重点工程工情变化情况及各类险情信息，提出洪水调度意见；完成旗防指交办的其他工作。</w:t>
      </w:r>
    </w:p>
    <w:p w14:paraId="674B94CC">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四、抢险救援组</w:t>
      </w:r>
    </w:p>
    <w:p w14:paraId="4075C72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组长单位：应急管理局</w:t>
      </w:r>
    </w:p>
    <w:p w14:paraId="4CD4174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成员单位：旗人民武装部、消防救援大队、森防中队、旗武警中队、水利局、公安局、林草局、交通运输局、住房和城乡建设局、自然资源局、国网克旗供电公司</w:t>
      </w:r>
    </w:p>
    <w:p w14:paraId="1272A1C4">
      <w:pPr>
        <w:widowControl/>
        <w:shd w:val="clear" w:color="auto" w:fill="FFFFFF"/>
        <w:adjustRightInd w:val="0"/>
        <w:snapToGrid w:val="0"/>
        <w:ind w:firstLine="640"/>
        <w:rPr>
          <w:rFonts w:ascii="黑体" w:hAnsi="黑体" w:eastAsia="黑体"/>
          <w:sz w:val="32"/>
          <w:szCs w:val="32"/>
        </w:rPr>
      </w:pPr>
      <w:r>
        <w:rPr>
          <w:rFonts w:hint="eastAsia" w:ascii="仿宋_GB2312" w:hAnsi="宋体" w:eastAsia="仿宋_GB2312"/>
          <w:sz w:val="32"/>
          <w:szCs w:val="32"/>
        </w:rPr>
        <w:t>主要职责：负责监督指导事发地受洪涝灾害威胁的人员转移；组织旗级防汛抢险队伍实施抗洪抢险，衔接民兵、预备役和武警部队参与抗洪抢险行动；根据各苏木乡镇（街道）需求和具体情况，及时派出工作组现场指导；督查各苏木乡镇（街道）做好防汛抢险工作；完成旗防指交办的其他工作。</w:t>
      </w:r>
    </w:p>
    <w:p w14:paraId="537CBE27">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五、医疗救治及卫生防疫组</w:t>
      </w:r>
    </w:p>
    <w:p w14:paraId="1DECB69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组长单位：卫生健康委员会</w:t>
      </w:r>
    </w:p>
    <w:p w14:paraId="6E03740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成员单位：疾病预防控制中心、旗人民医院、中蒙医院</w:t>
      </w:r>
    </w:p>
    <w:p w14:paraId="26FA5EF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负责医疗物资的组织调度；组织医疗卫生人员赶赴灾区，开展水旱灾区疾病预防控制和医疗救治工作；做好洪灾及次生衍生灾害发生后疾病预防控制和卫生监督工作；及时向旗防指提供灾区疫情防控和伤员救治信息；完成旗防指交办的其他工作。</w:t>
      </w:r>
    </w:p>
    <w:p w14:paraId="60A5C46B">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六、基础保障组</w:t>
      </w:r>
    </w:p>
    <w:p w14:paraId="6795FBB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组长单位：应急管理局</w:t>
      </w:r>
    </w:p>
    <w:p w14:paraId="294FA36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成员单位：发改委、水利局、公安局、工信和科技局、交通运输局、国网克旗供电公司、中国石油克旗分公司、中国移动克旗分公司、中国联通克旗分公司、中国电信克旗分公司。</w:t>
      </w:r>
    </w:p>
    <w:p w14:paraId="48ED537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负责防汛抗旱物资的储备、冻结与管理工作；负责外援物资的接收、调配和调运工作；负责协调组织运送救援人员、伤员和救灾物资、设备及群众转移所需交通工具；负责实施必要的交通疏导和管制，维护交通秩序，保障交通运输通畅；负责保障应急电力、应急用油供应补给；组织基础电信运营企业做好防汛抗旱通信保障工作；指导基础电信运营企业抢修因灾受损的公共电信基础设施；完成旗防指交办的其他工作。</w:t>
      </w:r>
    </w:p>
    <w:p w14:paraId="1E07E8FE">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七、善后处置组</w:t>
      </w:r>
    </w:p>
    <w:p w14:paraId="05E0AA1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组长单位：应急管理局</w:t>
      </w:r>
    </w:p>
    <w:p w14:paraId="09C6B83E">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成员单位：水利局、发改委、财政局、农牧局、教育局、民政局、交通运输局、卫生健康委员会、文化旅游体育局</w:t>
      </w:r>
    </w:p>
    <w:p w14:paraId="3E6275E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组织灾情核查，及时向旗防指提供灾情信息；负责受灾群众（学生、游客）转移安置和基本生活保障，及时组织调拨救灾款物，做好受灾人员家属抚慰工作；负责组织、协调水旱灾区救灾和受灾群众的生活救助；管理、分配</w:t>
      </w:r>
      <w:r>
        <w:rPr>
          <w:rFonts w:hint="eastAsia" w:ascii="仿宋_GB2312" w:hAnsi="宋体" w:eastAsia="仿宋_GB2312"/>
          <w:sz w:val="32"/>
          <w:szCs w:val="32"/>
          <w:lang w:eastAsia="zh-CN"/>
        </w:rPr>
        <w:t>党中央</w:t>
      </w:r>
      <w:r>
        <w:rPr>
          <w:rFonts w:hint="eastAsia" w:ascii="仿宋_GB2312" w:hAnsi="宋体" w:eastAsia="仿宋_GB2312"/>
          <w:sz w:val="32"/>
          <w:szCs w:val="32"/>
        </w:rPr>
        <w:t>、自治区、赤峰市、旗本级及社会各界救助受灾群众的款物，并监督使用；组织、指导和开展救灾捐赠等工作；负责抢险、救灾、水毁工程修复、灾后重建等资金筹措和拨付，负责申请各级防汛、救灾款项工作；负责防汛抢险、救灾资金使用的监督检查；完成旗防指交办的其他工作。</w:t>
      </w:r>
    </w:p>
    <w:p w14:paraId="4D575BD1">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八、新闻宣传组</w:t>
      </w:r>
    </w:p>
    <w:p w14:paraId="1D9142B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组长单位：旗委宣传部</w:t>
      </w:r>
    </w:p>
    <w:p w14:paraId="6F571B4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成员单位：应急管理局、融媒体中心</w:t>
      </w:r>
    </w:p>
    <w:p w14:paraId="39455B3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主要职责：负责抗洪抢险、抗旱救灾过程中的新闻报道和情况发布工作；完成旗防指交办的其他工作。</w:t>
      </w:r>
    </w:p>
    <w:p w14:paraId="56C4D132">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九、安保维稳组</w:t>
      </w:r>
    </w:p>
    <w:p w14:paraId="6BAD856D">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组长单位：公安局</w:t>
      </w:r>
    </w:p>
    <w:p w14:paraId="2076F96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成员单位：消防大队、武警中队、森防中队</w:t>
      </w:r>
    </w:p>
    <w:p w14:paraId="5AE53D46">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主要职责：负责维护防汛抢险秩序和灾区社会治安工作，预防和打击破坏防汛抗旱工作的犯罪活动；依法处置群体事件；做好灾区重要目标安全保卫工作。完成旗防指交办的其他工作。</w:t>
      </w:r>
    </w:p>
    <w:p w14:paraId="68BE4F64">
      <w:pPr>
        <w:widowControl/>
        <w:shd w:val="clear" w:color="auto" w:fill="FFFFFF"/>
        <w:adjustRightInd w:val="0"/>
        <w:snapToGrid w:val="0"/>
        <w:ind w:firstLine="640"/>
        <w:rPr>
          <w:rFonts w:ascii="仿宋_GB2312" w:hAnsi="宋体" w:eastAsia="仿宋_GB2312"/>
          <w:sz w:val="32"/>
          <w:szCs w:val="32"/>
        </w:rPr>
      </w:pPr>
    </w:p>
    <w:p w14:paraId="743470DE">
      <w:pPr>
        <w:adjustRightInd w:val="0"/>
        <w:snapToGrid w:val="0"/>
        <w:ind w:firstLine="640"/>
        <w:rPr>
          <w:rFonts w:ascii="宋体" w:hAnsi="宋体"/>
          <w:kern w:val="0"/>
          <w:sz w:val="32"/>
          <w:szCs w:val="32"/>
          <w:shd w:val="clear" w:color="auto" w:fill="FFFFFF"/>
        </w:rPr>
      </w:pPr>
      <w:r>
        <w:rPr>
          <w:rFonts w:hint="eastAsia" w:ascii="宋体" w:hAnsi="宋体"/>
          <w:kern w:val="0"/>
          <w:sz w:val="32"/>
          <w:szCs w:val="32"/>
          <w:shd w:val="clear" w:color="auto" w:fill="FFFFFF"/>
        </w:rPr>
        <w:br w:type="page"/>
      </w:r>
    </w:p>
    <w:p w14:paraId="7B74243C">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5" w:name="_Toc10661"/>
      <w:r>
        <w:rPr>
          <w:rFonts w:hint="eastAsia" w:ascii="仿宋_GB2312" w:hAnsi="仿宋_GB2312" w:eastAsia="仿宋_GB2312" w:cs="仿宋_GB2312"/>
          <w:b w:val="0"/>
          <w:bCs/>
          <w:sz w:val="32"/>
          <w:szCs w:val="32"/>
        </w:rPr>
        <w:t>附件4：《</w:t>
      </w:r>
      <w:r>
        <w:rPr>
          <w:rFonts w:hint="eastAsia" w:ascii="仿宋_GB2312" w:hAnsi="仿宋_GB2312" w:eastAsia="仿宋_GB2312" w:cs="仿宋_GB2312"/>
          <w:b w:val="0"/>
          <w:bCs/>
          <w:sz w:val="32"/>
          <w:szCs w:val="32"/>
          <w:lang w:val="en-US" w:eastAsia="zh-CN"/>
        </w:rPr>
        <w:t>克</w:t>
      </w:r>
      <w:r>
        <w:rPr>
          <w:rFonts w:hint="eastAsia" w:ascii="仿宋_GB2312" w:hAnsi="仿宋_GB2312" w:eastAsia="仿宋_GB2312" w:cs="仿宋_GB2312"/>
          <w:b w:val="0"/>
          <w:bCs/>
          <w:sz w:val="32"/>
          <w:szCs w:val="32"/>
        </w:rPr>
        <w:t>旗城市管理综合行政执法局中心城区极端天气洪涝灾害监测预警信息发布管理办法》</w:t>
      </w:r>
      <w:bookmarkEnd w:id="645"/>
    </w:p>
    <w:p w14:paraId="6B891040">
      <w:pPr>
        <w:widowControl/>
        <w:adjustRightInd w:val="0"/>
        <w:snapToGrid w:val="0"/>
        <w:ind w:firstLine="0" w:firstLineChars="0"/>
        <w:jc w:val="center"/>
        <w:rPr>
          <w:rFonts w:ascii="宋体" w:hAnsi="宋体"/>
          <w:bCs/>
          <w:color w:val="212121"/>
          <w:kern w:val="0"/>
          <w:sz w:val="44"/>
          <w:szCs w:val="44"/>
        </w:rPr>
      </w:pPr>
    </w:p>
    <w:p w14:paraId="536C931A">
      <w:pPr>
        <w:widowControl/>
        <w:adjustRightInd w:val="0"/>
        <w:snapToGrid w:val="0"/>
        <w:ind w:firstLine="0" w:firstLineChars="0"/>
        <w:jc w:val="center"/>
        <w:rPr>
          <w:rFonts w:hint="eastAsia" w:ascii="方正大标宋简体" w:hAnsi="宋体" w:eastAsia="方正大标宋简体"/>
          <w:bCs/>
          <w:color w:val="212121"/>
          <w:kern w:val="0"/>
          <w:sz w:val="44"/>
          <w:szCs w:val="44"/>
        </w:rPr>
      </w:pPr>
      <w:r>
        <w:rPr>
          <w:rFonts w:hint="eastAsia" w:ascii="方正大标宋简体" w:hAnsi="宋体" w:eastAsia="方正大标宋简体"/>
          <w:bCs/>
          <w:color w:val="212121"/>
          <w:kern w:val="0"/>
          <w:sz w:val="44"/>
          <w:szCs w:val="44"/>
        </w:rPr>
        <w:t>克旗城市管理综合行政执法局</w:t>
      </w:r>
    </w:p>
    <w:p w14:paraId="2A5C3488">
      <w:pPr>
        <w:widowControl/>
        <w:adjustRightInd w:val="0"/>
        <w:snapToGrid w:val="0"/>
        <w:ind w:firstLine="0" w:firstLineChars="0"/>
        <w:jc w:val="center"/>
        <w:rPr>
          <w:rFonts w:hint="eastAsia" w:ascii="方正大标宋简体" w:hAnsi="宋体" w:eastAsia="方正大标宋简体"/>
          <w:bCs/>
          <w:color w:val="212121"/>
          <w:kern w:val="0"/>
          <w:sz w:val="44"/>
          <w:szCs w:val="44"/>
        </w:rPr>
      </w:pPr>
      <w:r>
        <w:rPr>
          <w:rFonts w:hint="eastAsia" w:ascii="方正大标宋简体" w:hAnsi="宋体" w:eastAsia="方正大标宋简体"/>
          <w:bCs/>
          <w:color w:val="212121"/>
          <w:kern w:val="0"/>
          <w:sz w:val="44"/>
          <w:szCs w:val="44"/>
        </w:rPr>
        <w:t>中心城区极端天气洪涝灾害监测预警信息发布管理办法</w:t>
      </w:r>
    </w:p>
    <w:p w14:paraId="0777EFEE">
      <w:pPr>
        <w:spacing w:line="600" w:lineRule="exact"/>
        <w:ind w:firstLine="640"/>
        <w:jc w:val="center"/>
        <w:rPr>
          <w:rFonts w:asciiTheme="minorEastAsia" w:hAnsiTheme="minorEastAsia" w:eastAsiaTheme="minorEastAsia" w:cstheme="minorEastAsia"/>
          <w:sz w:val="32"/>
          <w:szCs w:val="32"/>
        </w:rPr>
      </w:pPr>
    </w:p>
    <w:p w14:paraId="66161B4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为深入贯彻习近平总书记关于城市中心城区极端天气洪涝灾害治理和防汛救灾工作重要指示精神，落实《国务院办公厅关于加强中心城区极端天气洪涝灾害治理的实施意见》（国办发〔2021〕11号），对照国内先进地区和国家最新要求，聚焦“7·20”特大暴雨灾害中暴露的问题短板，加快推进城市排水防涝设施和应急管理能力建设，全面提升城市防洪排涝能力，制定本方案。</w:t>
      </w:r>
    </w:p>
    <w:p w14:paraId="6C5DCAC8">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一、总体要求</w:t>
      </w:r>
    </w:p>
    <w:p w14:paraId="2FB58E4C">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（一）指导思想。以习近平新时代中国特色社会主义思想为指导，全面贯彻党的十九大和</w:t>
      </w:r>
      <w:r>
        <w:rPr>
          <w:rFonts w:hint="eastAsia" w:ascii="仿宋_GB2312" w:hAnsi="宋体" w:eastAsia="仿宋_GB2312"/>
          <w:sz w:val="32"/>
          <w:szCs w:val="32"/>
          <w:lang w:eastAsia="zh-CN"/>
        </w:rPr>
        <w:t>党的十九届历次全会精神</w:t>
      </w:r>
      <w:r>
        <w:rPr>
          <w:rFonts w:hint="eastAsia" w:ascii="仿宋_GB2312" w:hAnsi="宋体" w:eastAsia="仿宋_GB2312"/>
          <w:sz w:val="32"/>
          <w:szCs w:val="32"/>
        </w:rPr>
        <w:t>，认真落实习近平生态文明思想，坚持人民至上、生命至上，以提升城市系统抵御能力为导向，聚焦重大风险防控薄弱环节，把城市“里子工程”摆在更加突出位置，优先安排受灾严重地区和防洪排涝薄弱区域项目建设，完善灾害预警和应急疏散机制，切实提升城市防洪排涝能力和应对极端天气的应急保障能力，维护人民群众生命财产安全，为城市安全运行提供有力支撑。</w:t>
      </w:r>
    </w:p>
    <w:p w14:paraId="5FE0679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工作原则。做好中心城区极端天气洪涝灾害治理工作，要坚持“规划统筹、完善体系，全面治理、突出重点，因地制宜、政府主导、社会参与”的原则，统筹区域流域生态环境治理和城市建设，统筹城市水资源利用和防灾减灾，统筹城市防洪和中心城区极端天气洪涝灾害治理，坚持防御外洪与治理中心城区极端天气洪涝灾害并重、生态措施与工程措施并举，根据自然地理条件、水文气象特征和城市规模等因素，科学确定治理策略和建设任务，加强协调联动，加大投入力度，形成多部门合作、多专业协同、各方面参与的社会共治格局。</w:t>
      </w:r>
    </w:p>
    <w:p w14:paraId="68185D35">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二、构建城市排水防涝工程体系</w:t>
      </w:r>
    </w:p>
    <w:p w14:paraId="5F85E602">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实施灾后恢复重建工程。全面修复受灾地区城区毁损排水防涝等市政基础设施，尽快修复破损雨水管渠，保证排涝能力，避免水土流失造成道路塌陷等二次破坏。清理淤积雨水口、雨水管渠，对地下道路、桥涵等重点区域排涝泵站进行系统维护维修，保障正常运行。加快修复加固堤岸损毁和洪水漫溢的城市河道，提升配电房设防标准，增强抵御暴雨等自然灾害能力。开展道路、隧道、桥梁、窨井盖、电线杆等安全隐患专项排查治理，科学推进隧改桥、线缆入地等改造工程。依托灾后恢复重建规划，积极争取排水设施及城镇污水垃圾处理等环境基础设施中央预算内投资支持，推进城市排水管渠更新改造、调蓄设施新建和地下通道、桥涵等重要部位、重点区域、易涝地区排涝能力提升，加快补齐城市中心城区极端天气洪涝灾害治理短板。</w:t>
      </w:r>
    </w:p>
    <w:p w14:paraId="295EBB08">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实施河湖水系和生态空间治理与修复工程。保护城市生态空间，强化城市山体保护和河、湖、沟、塘、湿地等修复，保留天然雨洪通道、蓄滞洪空间，因地制宜恢复因历史原因封盖、填埋的天然排水沟、河道等，利用次要道路、绿地、植草沟等构建雨洪行泄通道。</w:t>
      </w:r>
    </w:p>
    <w:p w14:paraId="45912E33">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实施管网建设与改造工程。严格按照国家标准新建、改造城市排水管渠，加快消除城市排水管网空白区，深入开展老城区雨污分流改造，新敷设排水管网全面实现雨污分流。易涝区域路面要采取加密雨水口、增设线性排水沟渠等措施，统筹推进下游雨水干管和规划出水口建设，提升城市系统排水能力。　　</w:t>
      </w:r>
    </w:p>
    <w:p w14:paraId="2D11E0C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实施城市排涝通道建设工程。结合城市分区布局、河流自然条件和雨水汇集渠道，实施河道、湖塘、排洪沟、道路边沟等整治工程，推进城市水系相互贯通、自然流动，提高城区河道行洪排涝能力。全面建设、疏通和修复水系沿岸雨水排放口，确保与城市管网系统排水能力相匹配。合理规划利用城市排涝河道，加强城市外部河湖与内河、排洪沟、桥涵、排水管网等在水位标高、排水能力等方面的衔接，确保过流顺畅、水位满足防洪排涝安全要求。</w:t>
      </w:r>
    </w:p>
    <w:p w14:paraId="59D49E5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实施雨水源头减排工程。结合道路和老旧小区改造，加快解决居住社区积水中心城区极端天气洪涝灾害、雨污水管网混错接等问题，对现有硬化路面进行透水性改造，因地制宜增加绿地面积，提高雨水吸纳能力，优化建筑、道路、绿地、景观水体等标高衔接方式，确保雨水合理高效排放和资源化利用。</w:t>
      </w:r>
    </w:p>
    <w:p w14:paraId="40614DF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实施防洪能级提升工程。统筹重要跨区域水系的干支流、上下游、左右岸防洪排涝工作，合理确定各级城市的防洪标准和堤防等级，全面摸清防洪河道现状，明确风险点和薄弱环节，因地制宜实施防洪堤、护岸、河道清淤疏浚及生态化改造等工程，提升行洪能力，构建高效完善的城市防洪体系。</w:t>
      </w:r>
    </w:p>
    <w:p w14:paraId="0E51F781">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三、增强城市排水防涝支撑保障能力</w:t>
      </w:r>
    </w:p>
    <w:p w14:paraId="684A79A4">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强化规划管理与实施。尊重自然地理格局，严守生态保护红线、永久基本农田、城镇开发边界以及城市蓝线、绿线等重要控制线，保护山水林田湖草等自然调蓄空间。依法划定河湖管理范围，保护城市河湖水系。严格实施相关规划，在规划、建设、管理等阶段，落实排水防涝设施、调蓄空间、雨水径流和竖向管控要求。结合最新国土空间规划和洪涝风险评估结果，编制城市中心城区极端天气洪涝灾害风险图，探索划定洪涝风险控制线和灾害风险区。</w:t>
      </w:r>
    </w:p>
    <w:p w14:paraId="5D46C9AF">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统筹项目建设管理。加强中心城区极端天气洪涝灾害治理项目管理，按照“十四五”规划和年度建设计划，优先、有序推进中心城区极端天气洪涝灾害治理项目，严格把控工程规模关、质量关和进度关，统筹城市排水防涝设施建设改造、洪涝灾后恢复重建、污水处理设施建设、城镇老旧小区改造等，优化各类工程的空间布局和建设时序安排，提高项目建设效能。动态开展城市易涝积水点整治，针对新出现的积水点，按所在排水分区系统分析积水成因，制定整治方案并纳入年度建设计划推进，整体消除积水隐患。</w:t>
      </w:r>
    </w:p>
    <w:p w14:paraId="62162AE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提升地下基础设施防洪能力。加强地下商场、地下停车场等地下空间内部防洪排涝设计和设施建设，科学合理确定防洪标准，相关建设规范标准要高于地面建筑，综合运用防、排、堵、截等措施应对洪水侵入。统筹推进地下空间安全预警机制、应急机制和联动机制建设，持续完善预警联动、应急处置和抢险救援预案，针对突发情况即时采取中断运营、疏散撤离、抢险救援等应急措施，确保人民群众生命和财产安全。</w:t>
      </w:r>
    </w:p>
    <w:p w14:paraId="43B808C1">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加强智慧平台建设。建立完善城市综合管理信息平台，整合各部门防洪排涝管理相关信息，在排水设施关键节点、易涝积水点布设必要的智能化感知终端设备，满足日常管理、运行调度、灾情预判、预警预报、防汛调度、应急抢险等需要。</w:t>
      </w:r>
    </w:p>
    <w:p w14:paraId="59122F69">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四、提升城市排水防涝工作管理水平</w:t>
      </w:r>
    </w:p>
    <w:p w14:paraId="0CC8113B">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加强日常管理维护。切实增强风险意识，坚持“宁可十防九空，不可失防万一”，定期组织开展排水管网、窨井等设施普查。落实城市排水防涝设施巡查、维护、隐患排查制度和安全操作技术规程，加强调蓄空间维护和城市河道清疏，增加施工工地周边、低洼易涝区段、易淤积管段的清掏频次。汛前要全面开展隐患排查和整治，清疏养护排水设施，重点排查下穿通道、下沉式建筑、在建工程基坑等基础设施重要点位、区段和排水设施运行情况，完善应急预案和第一时间响应机制。　　</w:t>
      </w:r>
    </w:p>
    <w:p w14:paraId="282F97E5">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提升应急管理水平。全面开展极端天气对供水、供电、供暖、交通等安全运行影响的风险评估，建立健全多部门联动的中心城区极端天气洪涝灾害风险研判、隐患治理、监测预警、信息共享和应急处置机制，优化完善防洪排涝应急预案，明确部门职责任务、应急响应启动条件和响应措施、灾后恢复方案等内容。完善应急管理体系，加强城市应急能力建设，配足移动泵车等防汛设备和抢险物资。加大城市防洪排涝知识宣传教育力度，提高公众防灾避险意识和自救互救能力。</w:t>
      </w:r>
    </w:p>
    <w:p w14:paraId="6C941AAA">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加强专业队伍建设。建立专业队伍或委托专业机构负责城市排水防涝设施运行维护，强化抢险应急演练，提升应急抢险能力。充分发挥专家团队在洪涝风险研判、规划建设、应急处置等方面的专业作用。加强政府组织领导，强化城市管理、自然资源、生态环境保护、交通等执法队伍协调联动。　</w:t>
      </w:r>
    </w:p>
    <w:p w14:paraId="5DF491A9">
      <w:pPr>
        <w:widowControl/>
        <w:shd w:val="clear" w:color="auto" w:fill="FFFFFF"/>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强化监督执法。依法拆除违法占用河湖和排涝通道等的建筑物、构筑物。严格实施污水排入排水管网许可制度，防止雨污水管网混错接。依法查处侵占、破坏、非法迁改排水防涝设施，以及随意封堵雨水排口，向雨水设施和检查井倾倒垃圾杂物、水泥残渣、施工泥浆等行为。强化对易影响排水设施安全的施工工地的监督检查，及时消除安全隐患。加快推进城市黑臭水体治理，建立完善以河（湖）长制为统领的长效监管机制。采取有效措施，加强对灾后恢复重建项目组织实施的指导监督。</w:t>
      </w:r>
    </w:p>
    <w:p w14:paraId="073346D5">
      <w:pPr>
        <w:widowControl/>
        <w:shd w:val="clear" w:color="auto" w:fill="FFFFFF"/>
        <w:adjustRightInd w:val="0"/>
        <w:snapToGrid w:val="0"/>
        <w:ind w:firstLine="640"/>
        <w:rPr>
          <w:rFonts w:ascii="黑体" w:hAnsi="黑体" w:eastAsia="黑体"/>
          <w:sz w:val="32"/>
          <w:szCs w:val="32"/>
        </w:rPr>
      </w:pPr>
      <w:r>
        <w:rPr>
          <w:rFonts w:hint="eastAsia" w:ascii="黑体" w:hAnsi="黑体" w:eastAsia="黑体"/>
          <w:sz w:val="32"/>
          <w:szCs w:val="32"/>
        </w:rPr>
        <w:t>五、组织实施</w:t>
      </w:r>
    </w:p>
    <w:p w14:paraId="465E2601">
      <w:pPr>
        <w:widowControl/>
        <w:shd w:val="clear" w:color="auto" w:fill="FFFFFF"/>
        <w:adjustRightInd w:val="0"/>
        <w:snapToGrid w:val="0"/>
        <w:ind w:firstLine="640"/>
        <w:rPr>
          <w:rFonts w:ascii="宋体" w:hAnsi="宋体"/>
          <w:kern w:val="0"/>
          <w:sz w:val="32"/>
          <w:szCs w:val="32"/>
          <w:shd w:val="clear" w:color="auto" w:fill="FFFFFF"/>
        </w:rPr>
      </w:pPr>
      <w:r>
        <w:rPr>
          <w:rFonts w:hint="eastAsia" w:ascii="仿宋_GB2312" w:hAnsi="宋体" w:eastAsia="仿宋_GB2312"/>
          <w:sz w:val="32"/>
          <w:szCs w:val="32"/>
        </w:rPr>
        <w:t>（一）落实主体责任。严格落实中心城区极端天气洪涝灾害治理工作的主体责任，建立健全有利于城市排水防涝设施系统化管理的工作制度，形成统一领导、部门联动、统筹协调、齐抓共管的工作机制，组织修编城市排水防涝综合规划和方案，加大指导、组织、协调、支持和监督力度，把治理中心城区极端天气洪涝灾害作为保障城市安全发展的重要任务抓实抓好。</w:t>
      </w:r>
      <w:r>
        <w:rPr>
          <w:rFonts w:hint="eastAsia" w:ascii="宋体" w:hAnsi="宋体"/>
          <w:kern w:val="0"/>
          <w:sz w:val="32"/>
          <w:szCs w:val="32"/>
          <w:shd w:val="clear" w:color="auto" w:fill="FFFFFF"/>
        </w:rPr>
        <w:br w:type="page"/>
      </w:r>
    </w:p>
    <w:p w14:paraId="6BAC0370">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6" w:name="_Toc24082"/>
      <w:r>
        <w:rPr>
          <w:rFonts w:hint="eastAsia" w:ascii="仿宋_GB2312" w:hAnsi="仿宋_GB2312" w:eastAsia="仿宋_GB2312" w:cs="仿宋_GB2312"/>
          <w:b w:val="0"/>
          <w:bCs/>
          <w:sz w:val="32"/>
          <w:szCs w:val="32"/>
        </w:rPr>
        <w:t>附件5：《苏木乡镇（街道）强降雨期间转移避险响应方案》</w:t>
      </w:r>
      <w:bookmarkEnd w:id="646"/>
    </w:p>
    <w:p w14:paraId="34DF2BE5">
      <w:pPr>
        <w:adjustRightInd w:val="0"/>
        <w:snapToGrid w:val="0"/>
        <w:ind w:firstLine="0" w:firstLineChars="0"/>
        <w:jc w:val="center"/>
        <w:rPr>
          <w:rFonts w:ascii="宋体" w:hAnsi="宋体"/>
          <w:sz w:val="44"/>
          <w:szCs w:val="44"/>
        </w:rPr>
      </w:pPr>
    </w:p>
    <w:p w14:paraId="3C5D0F3B">
      <w:pPr>
        <w:adjustRightInd w:val="0"/>
        <w:snapToGrid w:val="0"/>
        <w:ind w:firstLine="0" w:firstLineChars="0"/>
        <w:jc w:val="center"/>
        <w:rPr>
          <w:rFonts w:hint="eastAsia" w:ascii="方正大标宋简体" w:hAnsi="宋体" w:eastAsia="方正大标宋简体"/>
          <w:sz w:val="44"/>
          <w:szCs w:val="44"/>
        </w:rPr>
      </w:pPr>
      <w:r>
        <w:rPr>
          <w:rFonts w:hint="eastAsia" w:ascii="方正大标宋简体" w:hAnsi="宋体" w:eastAsia="方正大标宋简体"/>
          <w:sz w:val="44"/>
          <w:szCs w:val="44"/>
        </w:rPr>
        <w:t>苏木乡镇（街道）强降雨期间转移避险</w:t>
      </w:r>
    </w:p>
    <w:p w14:paraId="1DBD187D">
      <w:pPr>
        <w:adjustRightInd w:val="0"/>
        <w:snapToGrid w:val="0"/>
        <w:ind w:firstLine="0" w:firstLineChars="0"/>
        <w:jc w:val="center"/>
        <w:rPr>
          <w:rFonts w:hint="eastAsia" w:ascii="方正大标宋简体" w:hAnsi="宋体" w:eastAsia="方正大标宋简体"/>
          <w:sz w:val="32"/>
          <w:szCs w:val="32"/>
        </w:rPr>
      </w:pPr>
      <w:r>
        <w:rPr>
          <w:rFonts w:hint="eastAsia" w:ascii="方正大标宋简体" w:hAnsi="宋体" w:eastAsia="方正大标宋简体"/>
          <w:sz w:val="44"/>
          <w:szCs w:val="44"/>
        </w:rPr>
        <w:t>响应方案</w:t>
      </w:r>
      <w:r>
        <w:rPr>
          <w:rFonts w:hint="eastAsia" w:ascii="方正大标宋简体" w:hAnsi="宋体" w:eastAsia="方正大标宋简体"/>
          <w:sz w:val="32"/>
          <w:szCs w:val="32"/>
        </w:rPr>
        <w:t>（建议稿）</w:t>
      </w:r>
    </w:p>
    <w:p w14:paraId="794766A5">
      <w:pPr>
        <w:adjustRightInd w:val="0"/>
        <w:snapToGrid w:val="0"/>
        <w:ind w:firstLine="0" w:firstLineChars="0"/>
        <w:jc w:val="center"/>
        <w:rPr>
          <w:rFonts w:hint="eastAsia" w:ascii="方正大标宋简体" w:hAnsi="宋体" w:eastAsia="方正大标宋简体"/>
          <w:sz w:val="44"/>
          <w:szCs w:val="44"/>
        </w:rPr>
      </w:pPr>
    </w:p>
    <w:p w14:paraId="1E39A9AF">
      <w:pPr>
        <w:adjustRightInd w:val="0"/>
        <w:snapToGrid w:val="0"/>
        <w:ind w:firstLine="640"/>
        <w:rPr>
          <w:rFonts w:ascii="宋体" w:hAnsi="宋体"/>
          <w:sz w:val="32"/>
          <w:szCs w:val="32"/>
        </w:rPr>
      </w:pPr>
    </w:p>
    <w:p w14:paraId="6CD46CB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为进一步做好强降雨期间转移避险工作，先期果断处置突发险情灾情，细化人员转移避险等临灾防控措施，努力实现“不死人、少伤人”的目标，最大限度减轻暴雨洪涝灾害损失，依据国家防汛抗旱总指挥部办公室《关于加强基层防范应对极端暴雨工</w:t>
      </w:r>
      <w:r>
        <w:rPr>
          <w:rFonts w:hint="eastAsia" w:ascii="仿宋_GB2312" w:hAnsi="宋体" w:eastAsia="仿宋_GB2312"/>
          <w:sz w:val="32"/>
          <w:szCs w:val="32"/>
          <w:lang w:eastAsia="zh-CN"/>
        </w:rPr>
        <w:t>作的</w:t>
      </w:r>
      <w:r>
        <w:rPr>
          <w:rFonts w:hint="eastAsia" w:ascii="仿宋_GB2312" w:hAnsi="宋体" w:eastAsia="仿宋_GB2312"/>
          <w:sz w:val="32"/>
          <w:szCs w:val="32"/>
        </w:rPr>
        <w:t>指导意见》（国汛办〔2022〕3号），制定本方案。</w:t>
      </w:r>
    </w:p>
    <w:p w14:paraId="35583DC6">
      <w:pPr>
        <w:adjustRightInd w:val="0"/>
        <w:snapToGrid w:val="0"/>
        <w:ind w:firstLine="640"/>
        <w:rPr>
          <w:rFonts w:ascii="黑体" w:hAnsi="黑体" w:eastAsia="黑体"/>
          <w:sz w:val="32"/>
          <w:szCs w:val="32"/>
        </w:rPr>
      </w:pPr>
      <w:r>
        <w:rPr>
          <w:rFonts w:hint="eastAsia" w:ascii="黑体" w:hAnsi="黑体" w:eastAsia="黑体"/>
          <w:sz w:val="32"/>
          <w:szCs w:val="32"/>
        </w:rPr>
        <w:t>一、组织机构</w:t>
      </w:r>
    </w:p>
    <w:p w14:paraId="5AF5E46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xx苏木乡镇（街道）防汛抗旱指挥部承担转移避险工作。</w:t>
      </w:r>
    </w:p>
    <w:p w14:paraId="7648C74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指挥长：苏木乡镇（街道）党委书记</w:t>
      </w:r>
    </w:p>
    <w:p w14:paraId="5736916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副指挥长：苏木乡镇（街道）苏木达、镇长、管理办公室主任</w:t>
      </w:r>
    </w:p>
    <w:p w14:paraId="0F7A8DA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成员：其他班子成员，各站所办负责人，学校、卫生院等单位负责人，各村党支部书记</w:t>
      </w:r>
    </w:p>
    <w:p w14:paraId="6DF5A95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xx副镇长(班子成员)包xx村，xx副镇长(班子成员)包xx村</w:t>
      </w:r>
    </w:p>
    <w:p w14:paraId="7289BA4B">
      <w:pPr>
        <w:adjustRightInd w:val="0"/>
        <w:snapToGrid w:val="0"/>
        <w:ind w:firstLine="640"/>
        <w:rPr>
          <w:rFonts w:ascii="黑体" w:hAnsi="黑体" w:eastAsia="黑体"/>
          <w:sz w:val="32"/>
          <w:szCs w:val="32"/>
        </w:rPr>
      </w:pPr>
      <w:r>
        <w:rPr>
          <w:rFonts w:hint="eastAsia" w:ascii="黑体" w:hAnsi="黑体" w:eastAsia="黑体"/>
          <w:sz w:val="32"/>
          <w:szCs w:val="32"/>
        </w:rPr>
        <w:t>二、转移原则</w:t>
      </w:r>
    </w:p>
    <w:p w14:paraId="33015EE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转移遵循“应转尽转、应转早转、就近就便”原则，按照“先人员后财产</w:t>
      </w:r>
      <w:r>
        <w:rPr>
          <w:rFonts w:hint="eastAsia" w:ascii="仿宋_GB2312" w:hAnsi="宋体" w:eastAsia="仿宋_GB2312"/>
          <w:sz w:val="32"/>
          <w:szCs w:val="32"/>
          <w:lang w:eastAsia="zh-CN"/>
        </w:rPr>
        <w:t>”“</w:t>
      </w:r>
      <w:r>
        <w:rPr>
          <w:rFonts w:hint="eastAsia" w:ascii="仿宋_GB2312" w:hAnsi="宋体" w:eastAsia="仿宋_GB2312"/>
          <w:sz w:val="32"/>
          <w:szCs w:val="32"/>
        </w:rPr>
        <w:t>先老弱病残后一般人员”“先低洼处人员后较高处人员”顺序进行。负责转移的责任人对不服从命令的人员可采取强制措施。</w:t>
      </w:r>
    </w:p>
    <w:p w14:paraId="26A28CAC">
      <w:pPr>
        <w:adjustRightInd w:val="0"/>
        <w:snapToGrid w:val="0"/>
        <w:ind w:firstLine="640"/>
        <w:rPr>
          <w:rFonts w:ascii="黑体" w:hAnsi="黑体" w:eastAsia="黑体"/>
          <w:sz w:val="32"/>
          <w:szCs w:val="32"/>
        </w:rPr>
      </w:pPr>
      <w:r>
        <w:rPr>
          <w:rFonts w:hint="eastAsia" w:ascii="黑体" w:hAnsi="黑体" w:eastAsia="黑体"/>
          <w:sz w:val="32"/>
          <w:szCs w:val="32"/>
        </w:rPr>
        <w:t>三、应急响应</w:t>
      </w:r>
    </w:p>
    <w:p w14:paraId="4956679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 xml:space="preserve">1.建立直达嘎查村（社区）主要责任人的临灾预警“叫应”机制，接到强降雨预警，苏木乡镇（街道）迅速通过电话、微信、村村响等途径发布预警信息，并通知嘎查村（社区）主要负责人；启动本级防汛抗旱应急预案和《xx苏木乡镇（街道）强降雨期间转移避险响应方案》。 </w:t>
      </w:r>
    </w:p>
    <w:p w14:paraId="1EFFEDC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接到强降雨预警、防汛指令落实临灾防范措施，提前组织危险区群众做好转移避险准备，对行洪河道、险工险段实施24小时巡查防守，一旦发现险情征兆，果断转移受威胁人员，果断关停管控区域内地下空间和严重积水路段等危险区域，危险解除前严防转移人员擅自返回。</w:t>
      </w:r>
    </w:p>
    <w:p w14:paraId="50214DF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3.苏木乡镇（街道）包村领导按各自职责分工提前下沉一线，督促指导嘎查村（社区）做好人员转移避险、过水路面、跨河桥涵、山洪沟口等重点部位巡查和抢险救援救灾工作。</w:t>
      </w:r>
    </w:p>
    <w:p w14:paraId="4E41E1D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4.苏木乡镇（街道）按就近就便原则选择安全的公共场所或临时搭建避难场所，妥善安置被转移群众，同时做好食物、饮水、保暖等基础保障工作。</w:t>
      </w:r>
    </w:p>
    <w:p w14:paraId="1B50622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5.苏木乡镇（街道）应急排全员、应急车辆24小时待命，做好抢险救援“乡自为战、村自为战”准备，第一时间就近开展自救互助，为外界抢险救援增援争取时间。</w:t>
      </w:r>
    </w:p>
    <w:p w14:paraId="38E1147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6.督促嘎查村（社区）做好附近工程机械车辆应急准备及油料储备，接到指令，立即赶往救援现场。</w:t>
      </w:r>
    </w:p>
    <w:p w14:paraId="5E153D5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7.值班人员24小时在岗，随时传达上级指示要求和调度上报本地区转移避险工作进展，保证信息传递渠道通畅。嘎查村主要责任人接到预警信息并采取应急措施后要及时反馈，确保既要“叫醒”也要“回应”。</w:t>
      </w:r>
    </w:p>
    <w:p w14:paraId="3AA364D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8.苏木乡镇（街道）调度本地公安派出机关做好灾区安保维稳、转移避险秩序维持等工作。</w:t>
      </w:r>
    </w:p>
    <w:p w14:paraId="26AF9F4C">
      <w:pPr>
        <w:adjustRightInd w:val="0"/>
        <w:snapToGrid w:val="0"/>
        <w:ind w:firstLine="640"/>
        <w:rPr>
          <w:rFonts w:ascii="仿宋_GB2312" w:hAnsi="宋体" w:eastAsia="仿宋_GB2312"/>
          <w:sz w:val="32"/>
          <w:szCs w:val="32"/>
        </w:rPr>
      </w:pPr>
    </w:p>
    <w:p w14:paraId="10C804FE">
      <w:pPr>
        <w:pStyle w:val="26"/>
        <w:snapToGrid w:val="0"/>
        <w:spacing w:line="560" w:lineRule="exact"/>
        <w:rPr>
          <w:rFonts w:hAnsi="宋体" w:cs="宋体"/>
          <w:color w:val="auto"/>
          <w:kern w:val="2"/>
          <w:sz w:val="32"/>
          <w:szCs w:val="32"/>
        </w:rPr>
      </w:pPr>
    </w:p>
    <w:p w14:paraId="79BA78F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br w:type="page"/>
      </w:r>
    </w:p>
    <w:p w14:paraId="31E4A86A">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7" w:name="_Toc10162"/>
      <w:r>
        <w:rPr>
          <w:rFonts w:hint="eastAsia" w:ascii="仿宋_GB2312" w:hAnsi="仿宋_GB2312" w:eastAsia="仿宋_GB2312" w:cs="仿宋_GB2312"/>
          <w:b w:val="0"/>
          <w:bCs/>
          <w:sz w:val="32"/>
          <w:szCs w:val="32"/>
        </w:rPr>
        <w:t>附件6：《嘎查村(社区)强降雨期间转移避险处置方案》</w:t>
      </w:r>
      <w:bookmarkEnd w:id="647"/>
    </w:p>
    <w:p w14:paraId="4A078CD8">
      <w:pPr>
        <w:adjustRightInd w:val="0"/>
        <w:snapToGrid w:val="0"/>
        <w:ind w:firstLine="880"/>
        <w:jc w:val="center"/>
        <w:rPr>
          <w:rFonts w:ascii="方正小标宋简体" w:hAnsi="方正小标宋简体" w:eastAsia="方正小标宋简体" w:cs="方正小标宋简体"/>
          <w:sz w:val="44"/>
          <w:szCs w:val="44"/>
        </w:rPr>
      </w:pPr>
    </w:p>
    <w:p w14:paraId="507A1DB3">
      <w:pPr>
        <w:adjustRightInd w:val="0"/>
        <w:snapToGrid w:val="0"/>
        <w:ind w:firstLine="0" w:firstLineChars="0"/>
        <w:jc w:val="center"/>
        <w:rPr>
          <w:rFonts w:hint="eastAsia" w:ascii="方正大标宋简体" w:eastAsia="方正大标宋简体" w:hAnsiTheme="minorEastAsia" w:cstheme="minorEastAsia"/>
          <w:sz w:val="44"/>
          <w:szCs w:val="44"/>
        </w:rPr>
      </w:pPr>
      <w:r>
        <w:rPr>
          <w:rFonts w:hint="eastAsia" w:ascii="方正大标宋简体" w:eastAsia="方正大标宋简体" w:hAnsiTheme="minorEastAsia" w:cstheme="minorEastAsia"/>
          <w:sz w:val="44"/>
          <w:szCs w:val="44"/>
        </w:rPr>
        <w:t>嘎查村(社区)强降雨期间转移避险处置方案</w:t>
      </w:r>
    </w:p>
    <w:p w14:paraId="1155CF56">
      <w:pPr>
        <w:adjustRightInd w:val="0"/>
        <w:snapToGrid w:val="0"/>
        <w:ind w:firstLine="0" w:firstLineChars="0"/>
        <w:jc w:val="center"/>
        <w:rPr>
          <w:rFonts w:hint="eastAsia" w:ascii="方正大标宋简体" w:eastAsia="方正大标宋简体" w:hAnsiTheme="minorEastAsia" w:cstheme="minorEastAsia"/>
          <w:sz w:val="32"/>
          <w:szCs w:val="32"/>
        </w:rPr>
      </w:pPr>
      <w:r>
        <w:rPr>
          <w:rFonts w:hint="eastAsia" w:ascii="方正大标宋简体" w:eastAsia="方正大标宋简体" w:hAnsiTheme="minorEastAsia" w:cstheme="minorEastAsia"/>
          <w:sz w:val="32"/>
          <w:szCs w:val="32"/>
        </w:rPr>
        <w:t>（建议稿）</w:t>
      </w:r>
    </w:p>
    <w:p w14:paraId="449598C5">
      <w:pPr>
        <w:adjustRightInd w:val="0"/>
        <w:snapToGrid w:val="0"/>
        <w:ind w:firstLine="640"/>
        <w:rPr>
          <w:rFonts w:ascii="仿宋_GB2312" w:hAnsi="宋体" w:eastAsia="仿宋_GB2312"/>
          <w:sz w:val="32"/>
          <w:szCs w:val="32"/>
        </w:rPr>
      </w:pPr>
    </w:p>
    <w:p w14:paraId="419E3BB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为进一步做好XX嘎查村(社区)强降雨期间转移避险工作，先期果断处置突发险情灾情，努力实现“不死人、少伤人”的目标，最大限度减轻暴雨洪涝灾害损失，依据国家防汛抗旱总指挥部办公室《关于加强基层防范应对极端暴雨工</w:t>
      </w:r>
      <w:r>
        <w:rPr>
          <w:rFonts w:hint="eastAsia" w:ascii="仿宋_GB2312" w:hAnsi="宋体" w:eastAsia="仿宋_GB2312"/>
          <w:sz w:val="32"/>
          <w:szCs w:val="32"/>
          <w:lang w:eastAsia="zh-CN"/>
        </w:rPr>
        <w:t>作的</w:t>
      </w:r>
      <w:r>
        <w:rPr>
          <w:rFonts w:hint="eastAsia" w:ascii="仿宋_GB2312" w:hAnsi="宋体" w:eastAsia="仿宋_GB2312"/>
          <w:sz w:val="32"/>
          <w:szCs w:val="32"/>
        </w:rPr>
        <w:t>指导意见》（国汛办〔2022〕3号）和《xx苏木乡镇（街道）人民政府（管理办公室）转移避险响应方案》，制定本方案。</w:t>
      </w:r>
    </w:p>
    <w:p w14:paraId="5491519F">
      <w:pPr>
        <w:adjustRightInd w:val="0"/>
        <w:snapToGrid w:val="0"/>
        <w:ind w:firstLine="640"/>
        <w:rPr>
          <w:rFonts w:ascii="黑体" w:hAnsi="黑体" w:eastAsia="黑体"/>
          <w:sz w:val="32"/>
          <w:szCs w:val="32"/>
        </w:rPr>
      </w:pPr>
      <w:r>
        <w:rPr>
          <w:rFonts w:hint="eastAsia" w:ascii="黑体" w:hAnsi="黑体" w:eastAsia="黑体"/>
          <w:sz w:val="32"/>
          <w:szCs w:val="32"/>
        </w:rPr>
        <w:t>一、转移原则</w:t>
      </w:r>
    </w:p>
    <w:p w14:paraId="5C35DC5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转移避险采取就近避险、集中避险和分散避险相结合的方式进行。转移遵循“应转尽转、应转早转、就近就便”原则，按照“先人员后财产</w:t>
      </w:r>
      <w:r>
        <w:rPr>
          <w:rFonts w:hint="eastAsia" w:ascii="仿宋_GB2312" w:hAnsi="宋体" w:eastAsia="仿宋_GB2312"/>
          <w:sz w:val="32"/>
          <w:szCs w:val="32"/>
          <w:lang w:eastAsia="zh-CN"/>
        </w:rPr>
        <w:t>”“</w:t>
      </w:r>
      <w:r>
        <w:rPr>
          <w:rFonts w:hint="eastAsia" w:ascii="仿宋_GB2312" w:hAnsi="宋体" w:eastAsia="仿宋_GB2312"/>
          <w:sz w:val="32"/>
          <w:szCs w:val="32"/>
        </w:rPr>
        <w:t>先老弱病残后一般人员”“先低洼处人员后较高处人员”顺序进行。将危险区人员转移到避险地点，转移责任人有权对不服从转移命令的人员采取强制转移措施。</w:t>
      </w:r>
    </w:p>
    <w:p w14:paraId="23D9EC39">
      <w:pPr>
        <w:adjustRightInd w:val="0"/>
        <w:snapToGrid w:val="0"/>
        <w:ind w:firstLine="640"/>
        <w:rPr>
          <w:rFonts w:ascii="黑体" w:hAnsi="黑体" w:eastAsia="黑体"/>
          <w:sz w:val="32"/>
          <w:szCs w:val="32"/>
        </w:rPr>
      </w:pPr>
      <w:r>
        <w:rPr>
          <w:rFonts w:hint="eastAsia" w:ascii="黑体" w:hAnsi="黑体" w:eastAsia="黑体"/>
          <w:sz w:val="32"/>
          <w:szCs w:val="32"/>
        </w:rPr>
        <w:t>二、前期准备</w:t>
      </w:r>
    </w:p>
    <w:p w14:paraId="75C9735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嘎查村（社区）汛前确定转移避险人员基础名单，报苏木乡镇（街道）汇总，落实转移责任人及联系电话、转移信号、转移路线与避险点位置。避险点设置在附近地势较高场地、居民家，或安全的公共场所。</w:t>
      </w:r>
    </w:p>
    <w:p w14:paraId="3FDE0076">
      <w:pPr>
        <w:adjustRightInd w:val="0"/>
        <w:snapToGrid w:val="0"/>
        <w:ind w:firstLine="640"/>
        <w:rPr>
          <w:rFonts w:ascii="黑体" w:hAnsi="黑体" w:eastAsia="黑体"/>
          <w:sz w:val="32"/>
          <w:szCs w:val="32"/>
        </w:rPr>
      </w:pPr>
      <w:r>
        <w:rPr>
          <w:rFonts w:hint="eastAsia" w:ascii="黑体" w:hAnsi="黑体" w:eastAsia="黑体"/>
          <w:sz w:val="32"/>
          <w:szCs w:val="32"/>
        </w:rPr>
        <w:t>三、责任落实</w:t>
      </w:r>
    </w:p>
    <w:p w14:paraId="3E42B29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建立苏木乡镇（街道）领导包村，村干部、驻村工作队包组，党员、嘎查村民（社区）代表包户避险责任，每一户都有一名包保人员，确保转移不漏一户一人。针对孤寡老人、留守儿童、残疾人等弱势群体要落实“一对一”转移责任人。</w:t>
      </w:r>
    </w:p>
    <w:p w14:paraId="37B0BDAB">
      <w:pPr>
        <w:adjustRightInd w:val="0"/>
        <w:snapToGrid w:val="0"/>
        <w:ind w:firstLine="640"/>
        <w:rPr>
          <w:rFonts w:ascii="黑体" w:hAnsi="黑体" w:eastAsia="黑体"/>
          <w:sz w:val="32"/>
          <w:szCs w:val="32"/>
        </w:rPr>
      </w:pPr>
      <w:r>
        <w:rPr>
          <w:rFonts w:hint="eastAsia" w:ascii="黑体" w:hAnsi="黑体" w:eastAsia="黑体"/>
          <w:sz w:val="32"/>
          <w:szCs w:val="32"/>
        </w:rPr>
        <w:t>四、隐患点位置</w:t>
      </w:r>
    </w:p>
    <w:p w14:paraId="6CCB674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（一）XX组，（跨河桥涵、临水临河、过水路面、山洪沟口、地质灾害点）。</w:t>
      </w:r>
    </w:p>
    <w:p w14:paraId="4750B66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预警信号发布和转移主要责任人：</w:t>
      </w:r>
    </w:p>
    <w:p w14:paraId="4ACC72F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双向管控具体责任人：</w:t>
      </w:r>
    </w:p>
    <w:p w14:paraId="629417B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w:t>
      </w:r>
    </w:p>
    <w:p w14:paraId="5890C36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（二）XX组，（跨河桥涵、临水临河、过水路面、山洪沟口、地质灾害点）。</w:t>
      </w:r>
    </w:p>
    <w:p w14:paraId="3963F37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预警信号发布和转移主要责任人：</w:t>
      </w:r>
    </w:p>
    <w:p w14:paraId="5D75C6B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双向管控具体责任人：</w:t>
      </w:r>
    </w:p>
    <w:p w14:paraId="42964D1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w:t>
      </w:r>
    </w:p>
    <w:p w14:paraId="16D6E648">
      <w:pPr>
        <w:adjustRightInd w:val="0"/>
        <w:snapToGrid w:val="0"/>
        <w:ind w:firstLine="640"/>
        <w:rPr>
          <w:rFonts w:ascii="黑体" w:hAnsi="黑体" w:eastAsia="黑体"/>
          <w:sz w:val="32"/>
          <w:szCs w:val="32"/>
        </w:rPr>
      </w:pPr>
      <w:r>
        <w:rPr>
          <w:rFonts w:hint="eastAsia" w:ascii="黑体" w:hAnsi="黑体" w:eastAsia="黑体"/>
          <w:sz w:val="32"/>
          <w:szCs w:val="32"/>
        </w:rPr>
        <w:t>五、转移路线、避险点及责任人</w:t>
      </w:r>
    </w:p>
    <w:p w14:paraId="5886BC2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（一）xx组，（跨河桥涵、临水临河、过水路面、山洪沟口、地质灾害点）。</w:t>
      </w:r>
    </w:p>
    <w:p w14:paraId="5C567EF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东（南）侧居民经xx→xx转移路线至xx避险点，责任人：xxx；</w:t>
      </w:r>
    </w:p>
    <w:p w14:paraId="7A99AF4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西（北）侧居民经xx路线转移至xx避险点，责任人：xxx；</w:t>
      </w:r>
    </w:p>
    <w:p w14:paraId="30D0C84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w:t>
      </w:r>
    </w:p>
    <w:p w14:paraId="0E3E62A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（二）xx组，（跨河桥涵、临水临河、过水路面、山洪沟口、地质灾害点）。</w:t>
      </w:r>
    </w:p>
    <w:p w14:paraId="0D38227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东（南）侧居民经xx路线转移至xx避险点，责任人：xxx；</w:t>
      </w:r>
    </w:p>
    <w:p w14:paraId="16E4FB4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西（北）侧居民经xx路线转移至xx避险点，责任人：xxx；</w:t>
      </w:r>
    </w:p>
    <w:p w14:paraId="151FB76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w:t>
      </w:r>
    </w:p>
    <w:p w14:paraId="1548942E">
      <w:pPr>
        <w:adjustRightInd w:val="0"/>
        <w:snapToGrid w:val="0"/>
        <w:ind w:firstLine="640"/>
        <w:rPr>
          <w:rFonts w:ascii="黑体" w:hAnsi="黑体" w:eastAsia="黑体"/>
          <w:sz w:val="32"/>
          <w:szCs w:val="32"/>
        </w:rPr>
      </w:pPr>
      <w:r>
        <w:rPr>
          <w:rFonts w:hint="eastAsia" w:ascii="黑体" w:hAnsi="黑体" w:eastAsia="黑体"/>
          <w:sz w:val="32"/>
          <w:szCs w:val="32"/>
        </w:rPr>
        <w:t>六、转移避险流程</w:t>
      </w:r>
    </w:p>
    <w:p w14:paraId="4D6E7A7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1.当接到上级强降雨预警，提前组织危险区群众做好转移避险准备，通知有跨河桥涵、临水临河、过水路面、山洪沟口、地质灾害点的村民组各隐患点管控责任人迅速到位，并开展24小时不间断巡查防守。</w:t>
      </w:r>
    </w:p>
    <w:p w14:paraId="069A00C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2.一旦发现险情征兆或特别紧急情况发生时，嘎查村村民委员会立即启动转移避险处置办法，及时向苏木乡镇（街道）人民政府（管理办公室）报告，果断转移受威胁人员。</w:t>
      </w:r>
    </w:p>
    <w:p w14:paraId="210636A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3.预警信号发布和转移主要责任人发出预警信号（预警广播、喇叭铜锣、上门通知），迅速将受暴雨、山洪威胁的村庄住户集结到指定地点，通知过程中进行人员点验和盘问，做到全覆盖、无遗漏。</w:t>
      </w:r>
    </w:p>
    <w:p w14:paraId="5A21297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4.按照预置路线，带领群众转移至避险点。有跨河桥涵、过水路面、山洪沟口的，分别往两侧转移；有地质灾害点、临水临河的按既定路线转移。</w:t>
      </w:r>
    </w:p>
    <w:p w14:paraId="4F843FA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5.隐患点管控责任人对过水路面采取沙袋拦截、拉绳摆桩、人员盯守等有效措施拦截过往车辆人员，避免强渡发生人员伤亡。</w:t>
      </w:r>
    </w:p>
    <w:p w14:paraId="4D0AE4E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6.转移后及时对避险人员人数进行核查，逐级上报。</w:t>
      </w:r>
    </w:p>
    <w:p w14:paraId="4E579FCD">
      <w:pPr>
        <w:adjustRightInd w:val="0"/>
        <w:snapToGrid w:val="0"/>
        <w:ind w:firstLine="640"/>
        <w:rPr>
          <w:rFonts w:ascii="黑体" w:hAnsi="黑体" w:eastAsia="黑体"/>
          <w:sz w:val="32"/>
          <w:szCs w:val="32"/>
        </w:rPr>
      </w:pPr>
      <w:r>
        <w:rPr>
          <w:rFonts w:hint="eastAsia" w:ascii="黑体" w:hAnsi="黑体" w:eastAsia="黑体"/>
          <w:sz w:val="32"/>
          <w:szCs w:val="32"/>
        </w:rPr>
        <w:t>七、注意事项</w:t>
      </w:r>
    </w:p>
    <w:p w14:paraId="61F9149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1.汛前，以嘎查村（社区）为单位开展《XX嘎查村转移避险处置方案》演练。</w:t>
      </w:r>
    </w:p>
    <w:p w14:paraId="32395FA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2.对于接收不到预警信息，夜间在房屋里歇息、毫无思想准备的人群，包户人员上门通知。</w:t>
      </w:r>
    </w:p>
    <w:p w14:paraId="002D6A1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3.在室外山洪易发区的山洪沟或陡峻山坡、溪河两岸活动的群众，巡查人员要进行劝离。</w:t>
      </w:r>
    </w:p>
    <w:p w14:paraId="19CE565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4.转移前，切断家中电源，煤气阀门，在条件允许的情况下利用沙袋、土石阻隔洪水进院入房。</w:t>
      </w:r>
    </w:p>
    <w:p w14:paraId="1D3C160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5.紧急情况解除前，严禁转移避险人员擅自返回撤出区域或者其他危险区域。</w:t>
      </w:r>
    </w:p>
    <w:p w14:paraId="2D96B2AA">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6.紧急情况解除后，在确保安全的前提下，有序组织被转移人员返回。</w:t>
      </w:r>
      <w:r>
        <w:rPr>
          <w:rFonts w:hint="eastAsia" w:ascii="仿宋_GB2312" w:hAnsi="宋体" w:eastAsia="仿宋_GB2312"/>
          <w:sz w:val="32"/>
          <w:szCs w:val="32"/>
        </w:rPr>
        <w:br w:type="page"/>
      </w:r>
    </w:p>
    <w:p w14:paraId="54259A00">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48" w:name="_Toc12492"/>
      <w:r>
        <w:rPr>
          <w:rFonts w:hint="eastAsia" w:ascii="仿宋_GB2312" w:hAnsi="仿宋_GB2312" w:eastAsia="仿宋_GB2312" w:cs="仿宋_GB2312"/>
          <w:b w:val="0"/>
          <w:bCs/>
          <w:sz w:val="32"/>
          <w:szCs w:val="32"/>
        </w:rPr>
        <w:t>附件7：《强降雨期间山丘区人员转移避险工作方案》</w:t>
      </w:r>
      <w:bookmarkEnd w:id="648"/>
    </w:p>
    <w:p w14:paraId="7BC8A4FE">
      <w:pPr>
        <w:spacing w:line="520" w:lineRule="exact"/>
        <w:ind w:firstLine="880"/>
        <w:rPr>
          <w:rFonts w:ascii="方正小标宋简体" w:hAnsi="方正小标宋简体" w:eastAsia="方正小标宋简体" w:cs="方正小标宋简体"/>
          <w:color w:val="2B2B2B"/>
          <w:kern w:val="0"/>
          <w:sz w:val="44"/>
          <w:szCs w:val="44"/>
          <w:shd w:val="clear" w:color="auto" w:fill="FFFFFF"/>
        </w:rPr>
      </w:pPr>
    </w:p>
    <w:p w14:paraId="1E3AB932">
      <w:pPr>
        <w:spacing w:line="520" w:lineRule="exact"/>
        <w:ind w:firstLine="0" w:firstLineChars="0"/>
        <w:jc w:val="center"/>
        <w:rPr>
          <w:rFonts w:hint="eastAsia" w:ascii="方正大标宋简体" w:hAnsi="宋体" w:eastAsia="方正大标宋简体"/>
          <w:color w:val="2B2B2B"/>
          <w:kern w:val="0"/>
          <w:sz w:val="44"/>
          <w:szCs w:val="44"/>
          <w:shd w:val="clear" w:color="auto" w:fill="FFFFFF"/>
        </w:rPr>
      </w:pPr>
      <w:r>
        <w:rPr>
          <w:rFonts w:hint="eastAsia" w:ascii="方正大标宋简体" w:hAnsi="宋体" w:eastAsia="方正大标宋简体"/>
          <w:color w:val="2B2B2B"/>
          <w:kern w:val="0"/>
          <w:sz w:val="44"/>
          <w:szCs w:val="44"/>
          <w:shd w:val="clear" w:color="auto" w:fill="FFFFFF"/>
        </w:rPr>
        <w:t>克什克腾旗强降雨期间山丘区人员</w:t>
      </w:r>
    </w:p>
    <w:p w14:paraId="69C78CF0">
      <w:pPr>
        <w:spacing w:line="520" w:lineRule="exact"/>
        <w:ind w:firstLine="0" w:firstLineChars="0"/>
        <w:jc w:val="center"/>
        <w:rPr>
          <w:rFonts w:hint="eastAsia" w:ascii="方正大标宋简体" w:hAnsi="宋体" w:eastAsia="方正大标宋简体"/>
          <w:color w:val="2B2B2B"/>
          <w:kern w:val="0"/>
          <w:sz w:val="44"/>
          <w:szCs w:val="44"/>
          <w:shd w:val="clear" w:color="auto" w:fill="FFFFFF"/>
        </w:rPr>
      </w:pPr>
      <w:r>
        <w:rPr>
          <w:rFonts w:hint="eastAsia" w:ascii="方正大标宋简体" w:hAnsi="宋体" w:eastAsia="方正大标宋简体"/>
          <w:color w:val="2B2B2B"/>
          <w:kern w:val="0"/>
          <w:sz w:val="44"/>
          <w:szCs w:val="44"/>
          <w:shd w:val="clear" w:color="auto" w:fill="FFFFFF"/>
        </w:rPr>
        <w:t>转移避险工作方案</w:t>
      </w:r>
    </w:p>
    <w:p w14:paraId="7084FFA2">
      <w:pPr>
        <w:adjustRightInd w:val="0"/>
        <w:snapToGrid w:val="0"/>
        <w:ind w:firstLine="640"/>
        <w:rPr>
          <w:rFonts w:ascii="仿宋_GB2312" w:hAnsi="宋体" w:eastAsia="仿宋_GB2312"/>
          <w:sz w:val="32"/>
          <w:szCs w:val="32"/>
        </w:rPr>
      </w:pPr>
    </w:p>
    <w:p w14:paraId="75BA917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我旗山丘区山洪灾害点多面广，频繁发生，是汛期人民群众生命财产安全的主要威胁。近年来，受气候变化影响，极端暴雨天气事件明显增多，加之生产活动影响加剧，山洪灾害防御成为我旗防汛抗旱工作的重中之重，形势愈发复杂严峻。为加强山丘区山洪灾害防御，做好人员转移避险工作，有效维护人民群众生命财产安全，现提出如下意见。</w:t>
      </w:r>
    </w:p>
    <w:p w14:paraId="27B3A10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一、总体要求</w:t>
      </w:r>
    </w:p>
    <w:p w14:paraId="20BFB3D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以习近平新时代中国特色社会主义思想为指导，坚持人民至上、生命至上，深入贯彻“两个坚持，三个转变”防灾减灾救灾新理念，按照“责任清、对象明、预警准、措施实、问责严”的总体要求，强化组织领导，压实防御责任，加强监测预报预警，细化转移避险措施，科学设定转移路线和安置点，充分发挥联防联控、群防群治作用，及时果断转移受威胁群众，坚决做到达到预警</w:t>
      </w:r>
      <w:r>
        <w:rPr>
          <w:rFonts w:hint="eastAsia" w:ascii="仿宋_GB2312" w:hAnsi="宋体" w:eastAsia="仿宋_GB2312"/>
          <w:sz w:val="32"/>
          <w:szCs w:val="32"/>
          <w:lang w:eastAsia="zh-CN"/>
        </w:rPr>
        <w:t>阈值</w:t>
      </w:r>
      <w:r>
        <w:rPr>
          <w:rFonts w:hint="eastAsia" w:ascii="仿宋_GB2312" w:hAnsi="宋体" w:eastAsia="仿宋_GB2312"/>
          <w:sz w:val="32"/>
          <w:szCs w:val="32"/>
        </w:rPr>
        <w:t>时紧急转移、发生险情异动时紧急转移、险情不能准确研判时紧急转移，切实做到应转尽转、不落一人，全力避免人员伤亡，把确保人民生命安全放在第一位落到实处。</w:t>
      </w:r>
    </w:p>
    <w:p w14:paraId="5A77125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二、强化责任落实</w:t>
      </w:r>
    </w:p>
    <w:p w14:paraId="05A40BB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一)全面落实转移避险责任。各苏木乡镇、街道管理办公室要建立乡级领导包村、村干部包组、党员干部包户的转移避险责任制，进一步压实苏木乡镇、嘎查村（社区）干部责任，与已有的基层管理体系相结合，实行风格化管理，完善</w:t>
      </w:r>
      <w:r>
        <w:rPr>
          <w:rFonts w:hint="eastAsia" w:ascii="仿宋_GB2312" w:hAnsi="宋体" w:eastAsia="仿宋_GB2312"/>
          <w:sz w:val="32"/>
          <w:szCs w:val="32"/>
          <w:lang w:eastAsia="zh-CN"/>
        </w:rPr>
        <w:t>群测群防</w:t>
      </w:r>
      <w:r>
        <w:rPr>
          <w:rFonts w:hint="eastAsia" w:ascii="仿宋_GB2312" w:hAnsi="宋体" w:eastAsia="仿宋_GB2312"/>
          <w:sz w:val="32"/>
          <w:szCs w:val="32"/>
        </w:rPr>
        <w:t>体系，确保责有人担、事有人干，建立苏木乡镇（街道）、嘎查村（社区）、自然组三级《2021年汛期人员转移避险责任台账》（见附件1），并及时进行更新。旗文旅体局、工信局、林业和草原局、住建局、教育局、民政局严格履行行业部门的管理责任，针对山丘区旅游景点、工矿企业、林场、施工工地和中小学校、养老院等人员集中、流动性大的重点区域和防护对象，明确落实相关企业、单位的主体责任，实现基层山洪灾害防御工作责任全覆盖。各地区、各有关部门充分发挥党组织和广大党员、干部在灾害防御中的战斗堡垒作用和先锋模范作用，把各项灾害防御措施落实落细。</w:t>
      </w:r>
    </w:p>
    <w:p w14:paraId="7A3502C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三、明确转移对象</w:t>
      </w:r>
    </w:p>
    <w:p w14:paraId="7A9CB200">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二）核定危险区和隐患点。各苏木乡镇、街道管理办公室要开展山区山洪灾害隐患排查,以村(社区)为单位核定山洪灾害危险区和隐患点,明确防御重点和防御措施,建立《2021年山洪灾害危险区隐患点台账》（见附件2），实施精准治理和巡查。</w:t>
      </w:r>
    </w:p>
    <w:p w14:paraId="406D80E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三）确定转移避险人员名单。各苏木乡镇、街道管理办公室每年汛前按照核定的危险区和隐患点，结合隐患排查情况，确定转移避险人员基础名单，落实转移责任人及联系电话、预警信号辨识、转移路线与避险点位置。</w:t>
      </w:r>
    </w:p>
    <w:p w14:paraId="43449332">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四、精准临灾预警</w:t>
      </w:r>
    </w:p>
    <w:p w14:paraId="770AC68F">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四）提前发布预报信息。旗应急管理局、水利局、气象局要密切跟踪山丘区天气变化，开展山丘区雨情水情实时监测，研判分析山洪灾害风险，通报共享局地强降雨预报信息，及时发布山洪灾害风险信息，督促乡（镇）、村（社区）加强值班值守。积极探索“点对点”精准提醒，将预报信息直接电话通知到乡（镇）、村（社区）等相关责任人，有针对性地提醒做好防御工作。</w:t>
      </w:r>
    </w:p>
    <w:p w14:paraId="11FD13AC">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及时发布临灾预警。旗水利局、气象局要及时发布短临和实时暴雨预警信息，利用已有的监测预警系统生成山洪灾害临灾“立即转移”预警信息，及时发布至各苏木乡镇、街道管理办公室和企业、单位相关责任人，指导做好灾害防御和人员避险工作。预警发布要坚持“土洋结合”，既要通过预警广播、喇叭铜锣、上门通知等传统方式，又要充分利用物联网、大数据、云计算等现代化手段，切实打通“最后一公里”，确保预警到户到人，做到全覆盖、无遗漏。</w:t>
      </w:r>
    </w:p>
    <w:p w14:paraId="3083D5F7">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五、落实避险措施</w:t>
      </w:r>
    </w:p>
    <w:p w14:paraId="46EE1371">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制订转移避险方案。各苏木乡镇、街道管理办公室要组织受山洪灾害威胁的村（社区）制订村级人员转移避险方案。方案应简洁明了、务实管用，要明确转移避险责任、转移对象、预警信号、转移路线、避险点等，并根据区域内情况变化及时修订。旗防汛抗旱指挥部要督促指导村级人员编制转移避险方案，提供必要的技术支持。</w:t>
      </w:r>
    </w:p>
    <w:p w14:paraId="5568B8A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七）加强方案演练。各苏木乡镇、街道管理办公室要定期组织开展山洪灾害人员转移避险综合演练，提高指挥决策能力和部门协同水平。要组织受山洪灾害威胁的村（社区）针对人员转移避险方案每年至少开展一次演练，使当地干部群众和相关责任人熟悉掌握危险区和隐患点分布、预警信号、转移路线和避险点等情况，提高干部群众主动防灾避险意识和自救互救能力。</w:t>
      </w:r>
    </w:p>
    <w:p w14:paraId="6CD56625">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八）加强巡查防守。各苏木乡镇、街道管理办公室要加大强降雨期间巡查力度，组织防御责任人紧盯阻水桥梁、漫水路段、河道险点、灾害隐患点、削坡建房点、山洪沟口等重点部位，发现异常及时预警并报告。</w:t>
      </w:r>
    </w:p>
    <w:p w14:paraId="1AA04CBD">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九）组织做好转移避险。当气象部门发布局地强降雨预报时，各山洪灾害防御责任人要提前下沉一线，做好责任区域的山洪灾害防御相关工作，特别是要落实孤寡老人、留守儿童、残疾人等脆弱群体的“一对一”转移避险措施，健全逐人落实、逐户对接的安全转移机制。苏木乡镇、嘎查村（社区）、相关企业和单位责任人接到山洪灾害“立即转移”预警信息时，要果断按照人员转移避险方案明确的路线转移受威胁群众，做到应转尽转、科学转移，并及时向旗防指反馈转移进展情况。</w:t>
      </w:r>
    </w:p>
    <w:p w14:paraId="11EAC2A8">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快速高效抢险救援。旗防汛抗旱指挥部要组织相关部门和抢险救援队伍根据灾害预警信息，有针对性地提前预置抢险救援力量，一旦发生险情，迅速开展抢险救援行动，全力营救遇险被困人员，并保证施救人员自身安全。发生强降雨可能造成较严重山洪灾害时，旗政府有关部门负责同志要深入一线、靠前指挥，组织开展抢险救援工作。各苏木乡镇、街道管理办公室要配备必要的通讯器材和救生设备，提高预警信息送达能力和自救互救能力。</w:t>
      </w:r>
    </w:p>
    <w:p w14:paraId="7433C80E">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一）强化转移群众安全管理。各苏木乡镇、街道管理办公室要加强转移避险人员的安全管理工作，引导群众服从统一安排，对于不顾劝阻执意返回的，要采取坚决措施，确保人民生命安全。要妥善安置转移避险群众，帮助解决生活困难，做到有饭吃、有衣穿、有干净水喝、有安全住处、有病能及时医治。</w:t>
      </w:r>
    </w:p>
    <w:p w14:paraId="696A7EAB">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二）加强防灾避险科普宣传。各苏木乡镇、街道管理办公室要组织推进山洪灾害防治科普知识进企业、进农村、进社区、进学校、进家庭等活动，加强山丘区干部群众山洪灾害防御常识和避险逃生技能培训。多方式、多渠道宣传山洪灾害防灾避险知识，及时报道山丘区转移避险典型案例和成功经验，不断增强群众防灾避灾意识和自救互救能力。</w:t>
      </w:r>
    </w:p>
    <w:p w14:paraId="7D173293">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六、严肃追究问责</w:t>
      </w:r>
    </w:p>
    <w:p w14:paraId="780BF90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十三）强化追究问责制度。各苏木乡镇、街道管理办公室要按照“党政同责、一岗双责、齐抓共管、失职追责”的要求，切实担负起“促一方发展、保一方平安”的政治责任，对因人员转移避险责任不落实、工作不到位、组织不力造成人员伤亡或重大损失的，要严肃追责问责。</w:t>
      </w:r>
    </w:p>
    <w:p w14:paraId="343BFCE6">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各苏木乡镇、街道管理办公室要充分认识人员转移避险工作的极端重要性，强化责任担当，加强协调推动，确保各项措施要求落到实处。要结合本地实际，认真总结行之有效的经验做法，不断改进不足、持续巩固提高。具体工作中的有关情况，要及时报旗防汛抗旱指挥部办公室。</w:t>
      </w:r>
    </w:p>
    <w:p w14:paraId="5B8F80F5">
      <w:pPr>
        <w:adjustRightInd w:val="0"/>
        <w:snapToGrid w:val="0"/>
        <w:ind w:firstLine="640"/>
        <w:rPr>
          <w:rFonts w:ascii="仿宋_GB2312" w:hAnsi="宋体" w:eastAsia="仿宋_GB2312"/>
          <w:sz w:val="32"/>
          <w:szCs w:val="32"/>
        </w:rPr>
      </w:pPr>
    </w:p>
    <w:p w14:paraId="3674BB24">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附件：1.20XX年汛期人员转移避险责任台账</w:t>
      </w:r>
    </w:p>
    <w:p w14:paraId="0B612F66">
      <w:pPr>
        <w:adjustRightInd w:val="0"/>
        <w:snapToGrid w:val="0"/>
        <w:ind w:firstLine="1600" w:firstLineChars="500"/>
        <w:rPr>
          <w:rFonts w:ascii="仿宋_GB2312" w:hAnsi="宋体" w:eastAsia="仿宋_GB2312"/>
          <w:sz w:val="32"/>
          <w:szCs w:val="32"/>
        </w:rPr>
      </w:pPr>
      <w:r>
        <w:rPr>
          <w:rFonts w:hint="eastAsia" w:ascii="仿宋_GB2312" w:hAnsi="宋体" w:eastAsia="仿宋_GB2312"/>
          <w:sz w:val="32"/>
          <w:szCs w:val="32"/>
        </w:rPr>
        <w:t>2.20XX年山洪灾害危险区隐患点台账</w:t>
      </w:r>
    </w:p>
    <w:p w14:paraId="017686E2">
      <w:pPr>
        <w:adjustRightInd w:val="0"/>
        <w:snapToGrid w:val="0"/>
        <w:ind w:firstLine="640"/>
        <w:rPr>
          <w:rFonts w:ascii="仿宋_GB2312" w:hAnsi="宋体" w:eastAsia="仿宋_GB2312"/>
          <w:sz w:val="32"/>
          <w:szCs w:val="32"/>
        </w:rPr>
      </w:pPr>
    </w:p>
    <w:p w14:paraId="7FFFD52C">
      <w:pPr>
        <w:adjustRightInd w:val="0"/>
        <w:snapToGrid w:val="0"/>
        <w:ind w:firstLine="640"/>
        <w:rPr>
          <w:rFonts w:ascii="仿宋_GB2312" w:hAnsi="宋体" w:eastAsia="仿宋_GB2312"/>
          <w:sz w:val="32"/>
          <w:szCs w:val="32"/>
        </w:rPr>
      </w:pPr>
    </w:p>
    <w:p w14:paraId="2CC3287E">
      <w:pPr>
        <w:adjustRightInd w:val="0"/>
        <w:snapToGrid w:val="0"/>
        <w:ind w:firstLine="640"/>
        <w:rPr>
          <w:rFonts w:ascii="仿宋_GB2312" w:hAnsi="宋体" w:eastAsia="仿宋_GB2312"/>
          <w:sz w:val="32"/>
          <w:szCs w:val="32"/>
        </w:rPr>
      </w:pPr>
    </w:p>
    <w:p w14:paraId="40D2B6EA">
      <w:pPr>
        <w:adjustRightInd w:val="0"/>
        <w:snapToGrid w:val="0"/>
        <w:ind w:firstLine="640"/>
        <w:rPr>
          <w:rFonts w:ascii="仿宋_GB2312" w:hAnsi="宋体" w:eastAsia="仿宋_GB2312"/>
          <w:sz w:val="32"/>
          <w:szCs w:val="32"/>
        </w:rPr>
      </w:pPr>
    </w:p>
    <w:p w14:paraId="75F7AD04">
      <w:pPr>
        <w:adjustRightInd w:val="0"/>
        <w:snapToGrid w:val="0"/>
        <w:ind w:firstLine="640"/>
        <w:rPr>
          <w:rFonts w:ascii="仿宋_GB2312" w:hAnsi="宋体" w:eastAsia="仿宋_GB2312"/>
          <w:sz w:val="32"/>
          <w:szCs w:val="32"/>
        </w:rPr>
      </w:pPr>
    </w:p>
    <w:p w14:paraId="00A55CCE">
      <w:pPr>
        <w:adjustRightInd w:val="0"/>
        <w:snapToGrid w:val="0"/>
        <w:ind w:firstLine="640"/>
        <w:rPr>
          <w:rFonts w:ascii="仿宋_GB2312" w:hAnsi="宋体" w:eastAsia="仿宋_GB2312"/>
          <w:sz w:val="32"/>
          <w:szCs w:val="32"/>
        </w:rPr>
      </w:pPr>
    </w:p>
    <w:p w14:paraId="7A76773C">
      <w:pPr>
        <w:adjustRightInd w:val="0"/>
        <w:snapToGrid w:val="0"/>
        <w:ind w:firstLine="640"/>
        <w:rPr>
          <w:rFonts w:ascii="仿宋_GB2312" w:hAnsi="宋体" w:eastAsia="仿宋_GB2312"/>
          <w:sz w:val="32"/>
          <w:szCs w:val="32"/>
        </w:rPr>
      </w:pPr>
    </w:p>
    <w:p w14:paraId="7EC68AE9">
      <w:pPr>
        <w:adjustRightInd w:val="0"/>
        <w:snapToGrid w:val="0"/>
        <w:ind w:firstLine="640"/>
        <w:rPr>
          <w:rFonts w:ascii="仿宋_GB2312" w:hAnsi="宋体" w:eastAsia="仿宋_GB2312"/>
          <w:sz w:val="32"/>
          <w:szCs w:val="32"/>
        </w:rPr>
      </w:pPr>
    </w:p>
    <w:p w14:paraId="5A57BDFD">
      <w:pPr>
        <w:adjustRightInd w:val="0"/>
        <w:snapToGrid w:val="0"/>
        <w:ind w:firstLine="640"/>
        <w:rPr>
          <w:rFonts w:ascii="仿宋_GB2312" w:hAnsi="宋体" w:eastAsia="仿宋_GB2312"/>
          <w:sz w:val="32"/>
          <w:szCs w:val="32"/>
        </w:rPr>
      </w:pPr>
    </w:p>
    <w:p w14:paraId="161D2D7E">
      <w:pPr>
        <w:adjustRightInd w:val="0"/>
        <w:snapToGrid w:val="0"/>
        <w:ind w:firstLine="640"/>
        <w:rPr>
          <w:rFonts w:ascii="仿宋_GB2312" w:hAnsi="宋体" w:eastAsia="仿宋_GB2312"/>
          <w:sz w:val="32"/>
          <w:szCs w:val="32"/>
        </w:rPr>
      </w:pPr>
    </w:p>
    <w:p w14:paraId="43EAE579">
      <w:pPr>
        <w:adjustRightInd w:val="0"/>
        <w:snapToGrid w:val="0"/>
        <w:ind w:firstLine="640"/>
        <w:rPr>
          <w:rFonts w:ascii="仿宋_GB2312" w:hAnsi="宋体" w:eastAsia="仿宋_GB2312"/>
          <w:sz w:val="32"/>
          <w:szCs w:val="32"/>
        </w:rPr>
      </w:pPr>
    </w:p>
    <w:p w14:paraId="2A770148">
      <w:pPr>
        <w:adjustRightInd w:val="0"/>
        <w:snapToGrid w:val="0"/>
        <w:ind w:firstLine="640"/>
        <w:rPr>
          <w:rFonts w:ascii="仿宋_GB2312" w:hAnsi="宋体" w:eastAsia="仿宋_GB2312"/>
          <w:sz w:val="32"/>
          <w:szCs w:val="32"/>
        </w:rPr>
      </w:pPr>
    </w:p>
    <w:p w14:paraId="6942932B">
      <w:pPr>
        <w:adjustRightInd w:val="0"/>
        <w:snapToGrid w:val="0"/>
        <w:ind w:firstLine="640"/>
        <w:rPr>
          <w:rFonts w:ascii="仿宋_GB2312" w:hAnsi="宋体" w:eastAsia="仿宋_GB2312"/>
          <w:sz w:val="32"/>
          <w:szCs w:val="32"/>
        </w:rPr>
      </w:pPr>
    </w:p>
    <w:p w14:paraId="0B7FFE0E">
      <w:pPr>
        <w:adjustRightInd w:val="0"/>
        <w:snapToGrid w:val="0"/>
        <w:ind w:firstLine="640"/>
        <w:rPr>
          <w:rFonts w:ascii="仿宋_GB2312" w:hAnsi="宋体" w:eastAsia="仿宋_GB2312"/>
          <w:sz w:val="32"/>
          <w:szCs w:val="32"/>
        </w:rPr>
      </w:pPr>
    </w:p>
    <w:p w14:paraId="3B0935F9">
      <w:pPr>
        <w:adjustRightInd w:val="0"/>
        <w:snapToGrid w:val="0"/>
        <w:ind w:firstLine="640"/>
        <w:rPr>
          <w:rFonts w:ascii="仿宋_GB2312" w:hAnsi="宋体" w:eastAsia="仿宋_GB2312"/>
          <w:sz w:val="32"/>
          <w:szCs w:val="32"/>
        </w:rPr>
      </w:pPr>
    </w:p>
    <w:p w14:paraId="2135EE0D">
      <w:pPr>
        <w:adjustRightInd w:val="0"/>
        <w:snapToGrid w:val="0"/>
        <w:ind w:firstLine="640"/>
        <w:rPr>
          <w:rFonts w:ascii="仿宋_GB2312" w:hAnsi="宋体" w:eastAsia="仿宋_GB2312"/>
          <w:sz w:val="32"/>
          <w:szCs w:val="32"/>
        </w:rPr>
      </w:pPr>
    </w:p>
    <w:p w14:paraId="437A7BD5">
      <w:pPr>
        <w:ind w:firstLine="880"/>
        <w:jc w:val="center"/>
        <w:rPr>
          <w:rFonts w:ascii="方正小标宋简体" w:hAnsi="方正小标宋简体" w:eastAsia="方正小标宋简体" w:cs="方正小标宋简体"/>
          <w:sz w:val="44"/>
          <w:szCs w:val="44"/>
        </w:rPr>
      </w:pPr>
    </w:p>
    <w:p w14:paraId="5D4BC9F1">
      <w:pPr>
        <w:ind w:firstLine="880"/>
        <w:jc w:val="center"/>
        <w:rPr>
          <w:rFonts w:ascii="方正小标宋简体" w:hAnsi="方正小标宋简体" w:eastAsia="方正小标宋简体" w:cs="方正小标宋简体"/>
          <w:sz w:val="44"/>
          <w:szCs w:val="44"/>
        </w:rPr>
      </w:pPr>
    </w:p>
    <w:p w14:paraId="6BB92DEB">
      <w:pPr>
        <w:ind w:firstLine="880"/>
        <w:jc w:val="center"/>
        <w:rPr>
          <w:rFonts w:ascii="方正小标宋简体" w:hAnsi="方正小标宋简体" w:eastAsia="方正小标宋简体" w:cs="方正小标宋简体"/>
          <w:sz w:val="44"/>
          <w:szCs w:val="44"/>
        </w:rPr>
      </w:pPr>
    </w:p>
    <w:p w14:paraId="3C8BB381">
      <w:pPr>
        <w:ind w:firstLine="0" w:firstLineChars="0"/>
        <w:rPr>
          <w:rFonts w:ascii="方正小标宋简体" w:hAnsi="方正小标宋简体" w:eastAsia="方正小标宋简体" w:cs="方正小标宋简体"/>
          <w:sz w:val="44"/>
          <w:szCs w:val="44"/>
        </w:rPr>
      </w:pPr>
    </w:p>
    <w:p w14:paraId="5CB77E7F">
      <w:pPr>
        <w:ind w:firstLine="0" w:firstLineChars="0"/>
        <w:jc w:val="center"/>
        <w:rPr>
          <w:rFonts w:ascii="宋体" w:hAnsi="宋体"/>
          <w:sz w:val="36"/>
          <w:szCs w:val="36"/>
        </w:rPr>
      </w:pPr>
      <w:r>
        <w:rPr>
          <w:rFonts w:hint="eastAsia" w:ascii="宋体" w:hAnsi="宋体"/>
          <w:sz w:val="36"/>
          <w:szCs w:val="36"/>
        </w:rPr>
        <w:t>20XX年汛期人员转移避险责任</w:t>
      </w:r>
      <w:r>
        <w:rPr>
          <w:rFonts w:hint="eastAsia" w:ascii="宋体" w:hAnsi="宋体"/>
          <w:sz w:val="36"/>
          <w:szCs w:val="36"/>
          <w:lang w:eastAsia="zh-CN"/>
        </w:rPr>
        <w:t>台账</w:t>
      </w:r>
    </w:p>
    <w:p w14:paraId="2DD7CA0E">
      <w:pPr>
        <w:ind w:firstLine="0" w:firstLineChars="0"/>
        <w:jc w:val="center"/>
        <w:rPr>
          <w:rFonts w:ascii="宋体" w:hAnsi="宋体"/>
          <w:sz w:val="36"/>
          <w:szCs w:val="36"/>
        </w:rPr>
      </w:pPr>
      <w:r>
        <w:rPr>
          <w:rFonts w:hint="eastAsia" w:ascii="宋体" w:hAnsi="宋体"/>
          <w:sz w:val="36"/>
          <w:szCs w:val="36"/>
        </w:rPr>
        <w:t>（乡镇级）</w:t>
      </w:r>
    </w:p>
    <w:p w14:paraId="384CFB8B">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填报单位：               乡镇（苏木）</w:t>
      </w:r>
    </w:p>
    <w:tbl>
      <w:tblPr>
        <w:tblStyle w:val="21"/>
        <w:tblW w:w="9218" w:type="dxa"/>
        <w:tblInd w:w="-63" w:type="dxa"/>
        <w:tblLayout w:type="fixed"/>
        <w:tblCellMar>
          <w:top w:w="0" w:type="dxa"/>
          <w:left w:w="108" w:type="dxa"/>
          <w:bottom w:w="0" w:type="dxa"/>
          <w:right w:w="108" w:type="dxa"/>
        </w:tblCellMar>
      </w:tblPr>
      <w:tblGrid>
        <w:gridCol w:w="1440"/>
        <w:gridCol w:w="1590"/>
        <w:gridCol w:w="2380"/>
        <w:gridCol w:w="1875"/>
        <w:gridCol w:w="1933"/>
      </w:tblGrid>
      <w:tr w14:paraId="3D05BF7B">
        <w:tblPrEx>
          <w:tblCellMar>
            <w:top w:w="0" w:type="dxa"/>
            <w:left w:w="108" w:type="dxa"/>
            <w:bottom w:w="0" w:type="dxa"/>
            <w:right w:w="108" w:type="dxa"/>
          </w:tblCellMar>
        </w:tblPrEx>
        <w:trPr>
          <w:trHeight w:val="1073"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D5F3">
            <w:pPr>
              <w:widowControl/>
              <w:ind w:left="0" w:leftChars="0" w:firstLine="0" w:firstLineChars="0"/>
              <w:jc w:val="center"/>
              <w:textAlignment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责任人</w:t>
            </w:r>
          </w:p>
          <w:p w14:paraId="331E047B">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姓名</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0F38">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职务</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DB41">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联系电话</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A780">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包联村名</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2F12">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备注</w:t>
            </w:r>
          </w:p>
        </w:tc>
      </w:tr>
      <w:tr w14:paraId="75F4A6C8">
        <w:tblPrEx>
          <w:tblCellMar>
            <w:top w:w="0" w:type="dxa"/>
            <w:left w:w="108" w:type="dxa"/>
            <w:bottom w:w="0" w:type="dxa"/>
            <w:right w:w="108" w:type="dxa"/>
          </w:tblCellMar>
        </w:tblPrEx>
        <w:trPr>
          <w:trHeight w:val="694"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0C2C">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41E6">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党委书记</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49BC">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9E25">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×××村</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5FC3">
            <w:pPr>
              <w:ind w:firstLine="640"/>
              <w:jc w:val="center"/>
              <w:rPr>
                <w:rFonts w:ascii="仿宋" w:hAnsi="仿宋" w:eastAsia="仿宋" w:cs="仿宋"/>
                <w:color w:val="000000"/>
                <w:sz w:val="32"/>
                <w:szCs w:val="32"/>
              </w:rPr>
            </w:pPr>
          </w:p>
        </w:tc>
      </w:tr>
      <w:tr w14:paraId="62F0B2DE">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05CD">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FF2D">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2901">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E8DB">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ADDD">
            <w:pPr>
              <w:ind w:firstLine="640"/>
              <w:jc w:val="center"/>
              <w:rPr>
                <w:rFonts w:ascii="仿宋" w:hAnsi="仿宋" w:eastAsia="仿宋" w:cs="仿宋"/>
                <w:color w:val="000000"/>
                <w:sz w:val="32"/>
                <w:szCs w:val="32"/>
              </w:rPr>
            </w:pPr>
          </w:p>
        </w:tc>
      </w:tr>
      <w:tr w14:paraId="34BD8A9E">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77A5">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51ED">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8C30">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9342">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2602">
            <w:pPr>
              <w:ind w:firstLine="640"/>
              <w:jc w:val="center"/>
              <w:rPr>
                <w:rFonts w:ascii="仿宋" w:hAnsi="仿宋" w:eastAsia="仿宋" w:cs="仿宋"/>
                <w:color w:val="000000"/>
                <w:sz w:val="32"/>
                <w:szCs w:val="32"/>
              </w:rPr>
            </w:pPr>
          </w:p>
        </w:tc>
      </w:tr>
      <w:tr w14:paraId="3A47FD25">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CD92">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4801">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53A8">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486A">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69B4">
            <w:pPr>
              <w:ind w:firstLine="640"/>
              <w:jc w:val="center"/>
              <w:rPr>
                <w:rFonts w:ascii="仿宋" w:hAnsi="仿宋" w:eastAsia="仿宋" w:cs="仿宋"/>
                <w:color w:val="000000"/>
                <w:sz w:val="32"/>
                <w:szCs w:val="32"/>
              </w:rPr>
            </w:pPr>
          </w:p>
        </w:tc>
      </w:tr>
      <w:tr w14:paraId="39D36920">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0960">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8B15">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D9A9">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1010">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4158E">
            <w:pPr>
              <w:ind w:firstLine="640"/>
              <w:jc w:val="center"/>
              <w:rPr>
                <w:rFonts w:ascii="仿宋" w:hAnsi="仿宋" w:eastAsia="仿宋" w:cs="仿宋"/>
                <w:color w:val="000000"/>
                <w:sz w:val="32"/>
                <w:szCs w:val="32"/>
              </w:rPr>
            </w:pPr>
          </w:p>
        </w:tc>
      </w:tr>
      <w:tr w14:paraId="45EE2E72">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6DD1">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D2B0">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7680">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CB17">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870F">
            <w:pPr>
              <w:ind w:firstLine="640"/>
              <w:jc w:val="center"/>
              <w:rPr>
                <w:rFonts w:ascii="仿宋" w:hAnsi="仿宋" w:eastAsia="仿宋" w:cs="仿宋"/>
                <w:color w:val="000000"/>
                <w:sz w:val="32"/>
                <w:szCs w:val="32"/>
              </w:rPr>
            </w:pPr>
          </w:p>
        </w:tc>
      </w:tr>
      <w:tr w14:paraId="199F9B5E">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D47D">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C64D">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CD86">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D078">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3060">
            <w:pPr>
              <w:ind w:firstLine="640"/>
              <w:jc w:val="center"/>
              <w:rPr>
                <w:rFonts w:ascii="仿宋" w:hAnsi="仿宋" w:eastAsia="仿宋" w:cs="仿宋"/>
                <w:color w:val="000000"/>
                <w:sz w:val="32"/>
                <w:szCs w:val="32"/>
              </w:rPr>
            </w:pPr>
          </w:p>
        </w:tc>
      </w:tr>
      <w:tr w14:paraId="337AFAB0">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EAFF">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9639">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1B92">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EC36">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57AF">
            <w:pPr>
              <w:ind w:firstLine="640"/>
              <w:jc w:val="center"/>
              <w:rPr>
                <w:rFonts w:ascii="仿宋" w:hAnsi="仿宋" w:eastAsia="仿宋" w:cs="仿宋"/>
                <w:color w:val="000000"/>
                <w:sz w:val="32"/>
                <w:szCs w:val="32"/>
              </w:rPr>
            </w:pPr>
          </w:p>
        </w:tc>
      </w:tr>
      <w:tr w14:paraId="15597E26">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8F04">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F178">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83CB">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E160">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EEC8">
            <w:pPr>
              <w:ind w:firstLine="640"/>
              <w:jc w:val="center"/>
              <w:rPr>
                <w:rFonts w:ascii="仿宋" w:hAnsi="仿宋" w:eastAsia="仿宋" w:cs="仿宋"/>
                <w:color w:val="000000"/>
                <w:sz w:val="32"/>
                <w:szCs w:val="32"/>
              </w:rPr>
            </w:pPr>
          </w:p>
        </w:tc>
      </w:tr>
      <w:tr w14:paraId="437AFB6B">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B6DF">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0319">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FE4B">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6020">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BBE9">
            <w:pPr>
              <w:ind w:firstLine="640"/>
              <w:jc w:val="center"/>
              <w:rPr>
                <w:rFonts w:ascii="仿宋" w:hAnsi="仿宋" w:eastAsia="仿宋" w:cs="仿宋"/>
                <w:color w:val="000000"/>
                <w:sz w:val="32"/>
                <w:szCs w:val="32"/>
              </w:rPr>
            </w:pPr>
          </w:p>
        </w:tc>
      </w:tr>
      <w:tr w14:paraId="52C68DC3">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C61F">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4873C">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11E0">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C2E8">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3211">
            <w:pPr>
              <w:ind w:firstLine="640"/>
              <w:jc w:val="center"/>
              <w:rPr>
                <w:rFonts w:ascii="仿宋" w:hAnsi="仿宋" w:eastAsia="仿宋" w:cs="仿宋"/>
                <w:color w:val="000000"/>
                <w:sz w:val="32"/>
                <w:szCs w:val="32"/>
              </w:rPr>
            </w:pPr>
          </w:p>
        </w:tc>
      </w:tr>
      <w:tr w14:paraId="58D8554E">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10AF">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D430">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6916">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9640">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F43A8">
            <w:pPr>
              <w:ind w:firstLine="640"/>
              <w:jc w:val="center"/>
              <w:rPr>
                <w:rFonts w:ascii="仿宋" w:hAnsi="仿宋" w:eastAsia="仿宋" w:cs="仿宋"/>
                <w:color w:val="000000"/>
                <w:sz w:val="32"/>
                <w:szCs w:val="32"/>
              </w:rPr>
            </w:pPr>
          </w:p>
        </w:tc>
      </w:tr>
      <w:tr w14:paraId="48CCCD1B">
        <w:tblPrEx>
          <w:tblCellMar>
            <w:top w:w="0" w:type="dxa"/>
            <w:left w:w="108" w:type="dxa"/>
            <w:bottom w:w="0" w:type="dxa"/>
            <w:right w:w="108" w:type="dxa"/>
          </w:tblCellMar>
        </w:tblPrEx>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ED62">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7242">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50C7">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5D09">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07D1">
            <w:pPr>
              <w:ind w:firstLine="640"/>
              <w:jc w:val="center"/>
              <w:rPr>
                <w:rFonts w:ascii="仿宋" w:hAnsi="仿宋" w:eastAsia="仿宋" w:cs="仿宋"/>
                <w:color w:val="000000"/>
                <w:sz w:val="32"/>
                <w:szCs w:val="32"/>
              </w:rPr>
            </w:pPr>
          </w:p>
        </w:tc>
      </w:tr>
      <w:tr w14:paraId="1789872D">
        <w:trPr>
          <w:trHeight w:val="671" w:hRule="atLeast"/>
        </w:trPr>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114A">
            <w:pPr>
              <w:ind w:firstLine="640"/>
              <w:jc w:val="center"/>
              <w:rPr>
                <w:rFonts w:ascii="仿宋" w:hAnsi="仿宋" w:eastAsia="仿宋" w:cs="仿宋"/>
                <w:color w:val="000000"/>
                <w:sz w:val="32"/>
                <w:szCs w:val="32"/>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BEEE">
            <w:pPr>
              <w:ind w:firstLine="640"/>
              <w:jc w:val="center"/>
              <w:rPr>
                <w:rFonts w:ascii="仿宋" w:hAnsi="仿宋" w:eastAsia="仿宋" w:cs="仿宋"/>
                <w:color w:val="000000"/>
                <w:sz w:val="32"/>
                <w:szCs w:val="32"/>
              </w:rPr>
            </w:pP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C35F">
            <w:pPr>
              <w:ind w:firstLine="640"/>
              <w:jc w:val="center"/>
              <w:rPr>
                <w:rFonts w:ascii="仿宋" w:hAnsi="仿宋" w:eastAsia="仿宋" w:cs="仿宋"/>
                <w:color w:val="000000"/>
                <w:sz w:val="32"/>
                <w:szCs w:val="3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2ACB">
            <w:pPr>
              <w:ind w:firstLine="640"/>
              <w:jc w:val="center"/>
              <w:rPr>
                <w:rFonts w:ascii="仿宋" w:hAnsi="仿宋" w:eastAsia="仿宋" w:cs="仿宋"/>
                <w:color w:val="000000"/>
                <w:sz w:val="32"/>
                <w:szCs w:val="32"/>
              </w:rPr>
            </w:pP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38F8">
            <w:pPr>
              <w:ind w:firstLine="640"/>
              <w:jc w:val="center"/>
              <w:rPr>
                <w:rFonts w:ascii="仿宋" w:hAnsi="仿宋" w:eastAsia="仿宋" w:cs="仿宋"/>
                <w:color w:val="000000"/>
                <w:sz w:val="32"/>
                <w:szCs w:val="32"/>
              </w:rPr>
            </w:pPr>
          </w:p>
        </w:tc>
      </w:tr>
    </w:tbl>
    <w:p w14:paraId="04754B16">
      <w:pPr>
        <w:ind w:firstLine="720"/>
        <w:jc w:val="center"/>
        <w:rPr>
          <w:rFonts w:ascii="宋体" w:hAnsi="宋体"/>
          <w:sz w:val="36"/>
          <w:szCs w:val="36"/>
        </w:rPr>
      </w:pPr>
    </w:p>
    <w:p w14:paraId="1841BF6F">
      <w:pPr>
        <w:ind w:firstLine="720"/>
        <w:jc w:val="center"/>
        <w:rPr>
          <w:rFonts w:ascii="宋体" w:hAnsi="宋体"/>
          <w:sz w:val="36"/>
          <w:szCs w:val="36"/>
        </w:rPr>
      </w:pPr>
      <w:r>
        <w:rPr>
          <w:rFonts w:hint="eastAsia" w:ascii="宋体" w:hAnsi="宋体"/>
          <w:sz w:val="36"/>
          <w:szCs w:val="36"/>
        </w:rPr>
        <w:t>20XX年汛期人员转移避险责任</w:t>
      </w:r>
      <w:r>
        <w:rPr>
          <w:rFonts w:hint="eastAsia" w:ascii="宋体" w:hAnsi="宋体"/>
          <w:sz w:val="36"/>
          <w:szCs w:val="36"/>
          <w:lang w:eastAsia="zh-CN"/>
        </w:rPr>
        <w:t>台账</w:t>
      </w:r>
    </w:p>
    <w:p w14:paraId="28D816D6">
      <w:pPr>
        <w:ind w:firstLine="720"/>
        <w:jc w:val="center"/>
        <w:rPr>
          <w:rFonts w:ascii="宋体" w:hAnsi="宋体"/>
          <w:sz w:val="36"/>
          <w:szCs w:val="36"/>
        </w:rPr>
      </w:pPr>
      <w:r>
        <w:rPr>
          <w:rFonts w:hint="eastAsia" w:ascii="宋体" w:hAnsi="宋体"/>
          <w:sz w:val="36"/>
          <w:szCs w:val="36"/>
        </w:rPr>
        <w:t>（村级）</w:t>
      </w:r>
    </w:p>
    <w:p w14:paraId="5BE7A0DB">
      <w:pPr>
        <w:ind w:firstLine="643"/>
        <w:rPr>
          <w:rFonts w:ascii="仿宋" w:hAnsi="仿宋" w:eastAsia="仿宋" w:cs="仿宋"/>
          <w:b/>
          <w:bCs/>
          <w:sz w:val="32"/>
          <w:szCs w:val="32"/>
        </w:rPr>
      </w:pPr>
      <w:r>
        <w:rPr>
          <w:rFonts w:hint="eastAsia" w:ascii="仿宋" w:hAnsi="仿宋" w:eastAsia="仿宋" w:cs="仿宋"/>
          <w:b/>
          <w:bCs/>
          <w:sz w:val="32"/>
          <w:szCs w:val="32"/>
        </w:rPr>
        <w:t>填报单位：      乡镇（苏木）        村</w:t>
      </w:r>
    </w:p>
    <w:tbl>
      <w:tblPr>
        <w:tblStyle w:val="21"/>
        <w:tblW w:w="8968" w:type="dxa"/>
        <w:jc w:val="center"/>
        <w:tblLayout w:type="autofit"/>
        <w:tblCellMar>
          <w:top w:w="0" w:type="dxa"/>
          <w:left w:w="108" w:type="dxa"/>
          <w:bottom w:w="0" w:type="dxa"/>
          <w:right w:w="108" w:type="dxa"/>
        </w:tblCellMar>
      </w:tblPr>
      <w:tblGrid>
        <w:gridCol w:w="1725"/>
        <w:gridCol w:w="2136"/>
        <w:gridCol w:w="1971"/>
        <w:gridCol w:w="1820"/>
        <w:gridCol w:w="1330"/>
      </w:tblGrid>
      <w:tr w14:paraId="4ED1DCA2">
        <w:tblPrEx>
          <w:tblCellMar>
            <w:top w:w="0" w:type="dxa"/>
            <w:left w:w="108" w:type="dxa"/>
            <w:bottom w:w="0" w:type="dxa"/>
            <w:right w:w="108" w:type="dxa"/>
          </w:tblCellMar>
        </w:tblPrEx>
        <w:trPr>
          <w:trHeight w:val="555" w:hRule="atLeast"/>
          <w:jc w:val="center"/>
        </w:trPr>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2BB0">
            <w:pPr>
              <w:widowControl/>
              <w:ind w:left="0" w:leftChars="0" w:firstLine="0" w:firstLineChars="0"/>
              <w:jc w:val="center"/>
              <w:textAlignment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责任人</w:t>
            </w:r>
          </w:p>
          <w:p w14:paraId="0C7E8F1E">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姓名</w:t>
            </w:r>
          </w:p>
        </w:tc>
        <w:tc>
          <w:tcPr>
            <w:tcW w:w="2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8867">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职务</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BFDA">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联系电话</w:t>
            </w:r>
          </w:p>
        </w:tc>
        <w:tc>
          <w:tcPr>
            <w:tcW w:w="1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1AAA">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包联组名</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FE87">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备注</w:t>
            </w:r>
          </w:p>
        </w:tc>
      </w:tr>
      <w:tr w14:paraId="24EE293F">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4F449">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210B">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lang w:eastAsia="zh-CN"/>
              </w:rPr>
              <w:t>村党支部书记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0620">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0A1D">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72F8">
            <w:pPr>
              <w:ind w:firstLine="640"/>
              <w:jc w:val="center"/>
              <w:rPr>
                <w:rFonts w:ascii="仿宋" w:hAnsi="仿宋" w:eastAsia="仿宋" w:cs="仿宋"/>
                <w:color w:val="000000"/>
                <w:sz w:val="32"/>
                <w:szCs w:val="32"/>
              </w:rPr>
            </w:pPr>
          </w:p>
        </w:tc>
      </w:tr>
      <w:tr w14:paraId="164EFA22">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4C6D">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62A7">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5BE7">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131F">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BE6C7">
            <w:pPr>
              <w:ind w:firstLine="640"/>
              <w:jc w:val="center"/>
              <w:rPr>
                <w:rFonts w:ascii="仿宋" w:hAnsi="仿宋" w:eastAsia="仿宋" w:cs="仿宋"/>
                <w:color w:val="000000"/>
                <w:sz w:val="32"/>
                <w:szCs w:val="32"/>
              </w:rPr>
            </w:pPr>
          </w:p>
        </w:tc>
      </w:tr>
      <w:tr w14:paraId="71CBC707">
        <w:tblPrEx>
          <w:tblCellMar>
            <w:top w:w="0" w:type="dxa"/>
            <w:left w:w="108" w:type="dxa"/>
            <w:bottom w:w="0" w:type="dxa"/>
            <w:right w:w="108" w:type="dxa"/>
          </w:tblCellMar>
        </w:tblPrEx>
        <w:trPr>
          <w:trHeight w:val="55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E9C4">
            <w:pPr>
              <w:ind w:firstLine="640"/>
              <w:jc w:val="center"/>
              <w:rPr>
                <w:rFonts w:ascii="仿宋" w:hAnsi="仿宋" w:eastAsia="仿宋" w:cs="仿宋"/>
                <w:color w:val="000000"/>
                <w:sz w:val="32"/>
                <w:szCs w:val="3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30F0F">
            <w:pPr>
              <w:ind w:firstLine="640"/>
              <w:jc w:val="center"/>
              <w:rPr>
                <w:rFonts w:ascii="仿宋" w:hAnsi="仿宋" w:eastAsia="仿宋" w:cs="仿宋"/>
                <w:color w:val="000000"/>
                <w:sz w:val="32"/>
                <w:szCs w:val="3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D74A">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6B022">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2AB4">
            <w:pPr>
              <w:ind w:firstLine="640"/>
              <w:jc w:val="center"/>
              <w:rPr>
                <w:rFonts w:ascii="仿宋" w:hAnsi="仿宋" w:eastAsia="仿宋" w:cs="仿宋"/>
                <w:color w:val="000000"/>
                <w:sz w:val="32"/>
                <w:szCs w:val="32"/>
              </w:rPr>
            </w:pPr>
          </w:p>
        </w:tc>
      </w:tr>
      <w:tr w14:paraId="6D200FCE">
        <w:tblPrEx>
          <w:tblCellMar>
            <w:top w:w="0" w:type="dxa"/>
            <w:left w:w="108" w:type="dxa"/>
            <w:bottom w:w="0" w:type="dxa"/>
            <w:right w:w="108" w:type="dxa"/>
          </w:tblCellMar>
        </w:tblPrEx>
        <w:trPr>
          <w:trHeight w:val="55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7A5C">
            <w:pPr>
              <w:ind w:firstLine="640"/>
              <w:jc w:val="center"/>
              <w:rPr>
                <w:rFonts w:ascii="仿宋" w:hAnsi="仿宋" w:eastAsia="仿宋" w:cs="仿宋"/>
                <w:color w:val="000000"/>
                <w:sz w:val="32"/>
                <w:szCs w:val="3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310A">
            <w:pPr>
              <w:ind w:firstLine="640"/>
              <w:jc w:val="center"/>
              <w:rPr>
                <w:rFonts w:ascii="仿宋" w:hAnsi="仿宋" w:eastAsia="仿宋" w:cs="仿宋"/>
                <w:color w:val="000000"/>
                <w:sz w:val="32"/>
                <w:szCs w:val="3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7024">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E6B7">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1579">
            <w:pPr>
              <w:ind w:firstLine="640"/>
              <w:jc w:val="center"/>
              <w:rPr>
                <w:rFonts w:ascii="仿宋" w:hAnsi="仿宋" w:eastAsia="仿宋" w:cs="仿宋"/>
                <w:color w:val="000000"/>
                <w:sz w:val="32"/>
                <w:szCs w:val="32"/>
              </w:rPr>
            </w:pPr>
          </w:p>
        </w:tc>
      </w:tr>
      <w:tr w14:paraId="73BC20F1">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FA2F">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17A1">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506B">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F3454">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FF1F">
            <w:pPr>
              <w:ind w:firstLine="640"/>
              <w:jc w:val="center"/>
              <w:rPr>
                <w:rFonts w:ascii="仿宋" w:hAnsi="仿宋" w:eastAsia="仿宋" w:cs="仿宋"/>
                <w:color w:val="000000"/>
                <w:sz w:val="32"/>
                <w:szCs w:val="32"/>
              </w:rPr>
            </w:pPr>
          </w:p>
        </w:tc>
      </w:tr>
      <w:tr w14:paraId="0D338CD4">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33E5">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E6FF">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2B99">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33D4">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2BFE">
            <w:pPr>
              <w:ind w:firstLine="640"/>
              <w:jc w:val="center"/>
              <w:rPr>
                <w:rFonts w:ascii="仿宋" w:hAnsi="仿宋" w:eastAsia="仿宋" w:cs="仿宋"/>
                <w:color w:val="000000"/>
                <w:sz w:val="32"/>
                <w:szCs w:val="32"/>
              </w:rPr>
            </w:pPr>
          </w:p>
        </w:tc>
      </w:tr>
      <w:tr w14:paraId="2C66D934">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5DC37">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45C4">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C4A4">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9C14A">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3F59">
            <w:pPr>
              <w:ind w:firstLine="640"/>
              <w:jc w:val="center"/>
              <w:rPr>
                <w:rFonts w:ascii="仿宋" w:hAnsi="仿宋" w:eastAsia="仿宋" w:cs="仿宋"/>
                <w:color w:val="000000"/>
                <w:sz w:val="32"/>
                <w:szCs w:val="32"/>
              </w:rPr>
            </w:pPr>
          </w:p>
        </w:tc>
      </w:tr>
      <w:tr w14:paraId="7C22C15F">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942FF">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9640">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20F4">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CD71">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44E5">
            <w:pPr>
              <w:ind w:firstLine="640"/>
              <w:jc w:val="center"/>
              <w:rPr>
                <w:rFonts w:ascii="仿宋" w:hAnsi="仿宋" w:eastAsia="仿宋" w:cs="仿宋"/>
                <w:color w:val="000000"/>
                <w:sz w:val="32"/>
                <w:szCs w:val="32"/>
              </w:rPr>
            </w:pPr>
          </w:p>
        </w:tc>
      </w:tr>
      <w:tr w14:paraId="71A53C7D">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6802">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5CF2">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1146">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E63E">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126B">
            <w:pPr>
              <w:ind w:firstLine="640"/>
              <w:jc w:val="center"/>
              <w:rPr>
                <w:rFonts w:ascii="仿宋" w:hAnsi="仿宋" w:eastAsia="仿宋" w:cs="仿宋"/>
                <w:color w:val="000000"/>
                <w:sz w:val="32"/>
                <w:szCs w:val="32"/>
              </w:rPr>
            </w:pPr>
          </w:p>
        </w:tc>
      </w:tr>
      <w:tr w14:paraId="5F2EE15B">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996A">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07E9">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95F88">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2478">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598E">
            <w:pPr>
              <w:ind w:firstLine="640"/>
              <w:jc w:val="center"/>
              <w:rPr>
                <w:rFonts w:ascii="仿宋" w:hAnsi="仿宋" w:eastAsia="仿宋" w:cs="仿宋"/>
                <w:color w:val="000000"/>
                <w:sz w:val="32"/>
                <w:szCs w:val="32"/>
              </w:rPr>
            </w:pPr>
          </w:p>
        </w:tc>
      </w:tr>
      <w:tr w14:paraId="392E1F95">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F923">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53A0">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E11D">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DFF9">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382A">
            <w:pPr>
              <w:ind w:firstLine="640"/>
              <w:jc w:val="center"/>
              <w:rPr>
                <w:rFonts w:ascii="仿宋" w:hAnsi="仿宋" w:eastAsia="仿宋" w:cs="仿宋"/>
                <w:color w:val="000000"/>
                <w:sz w:val="32"/>
                <w:szCs w:val="32"/>
              </w:rPr>
            </w:pPr>
          </w:p>
        </w:tc>
      </w:tr>
      <w:tr w14:paraId="72D3F718">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CD6A">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453C">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B0BA">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BEA7">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9BEE">
            <w:pPr>
              <w:ind w:firstLine="640"/>
              <w:jc w:val="center"/>
              <w:rPr>
                <w:rFonts w:ascii="仿宋" w:hAnsi="仿宋" w:eastAsia="仿宋" w:cs="仿宋"/>
                <w:color w:val="000000"/>
                <w:sz w:val="32"/>
                <w:szCs w:val="32"/>
              </w:rPr>
            </w:pPr>
          </w:p>
        </w:tc>
      </w:tr>
      <w:tr w14:paraId="36F50061">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FB8C">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9C11">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D515">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1426B">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2749">
            <w:pPr>
              <w:ind w:firstLine="640"/>
              <w:jc w:val="center"/>
              <w:rPr>
                <w:rFonts w:ascii="仿宋" w:hAnsi="仿宋" w:eastAsia="仿宋" w:cs="仿宋"/>
                <w:color w:val="000000"/>
                <w:sz w:val="32"/>
                <w:szCs w:val="32"/>
              </w:rPr>
            </w:pPr>
          </w:p>
        </w:tc>
      </w:tr>
      <w:tr w14:paraId="1B7A2F20">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05A9">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32D7">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D7CF">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2A5B">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27B3">
            <w:pPr>
              <w:ind w:firstLine="640"/>
              <w:jc w:val="center"/>
              <w:rPr>
                <w:rFonts w:ascii="仿宋" w:hAnsi="仿宋" w:eastAsia="仿宋" w:cs="仿宋"/>
                <w:color w:val="000000"/>
                <w:sz w:val="32"/>
                <w:szCs w:val="32"/>
              </w:rPr>
            </w:pPr>
          </w:p>
        </w:tc>
      </w:tr>
      <w:tr w14:paraId="70DC3F4C">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986B">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868C">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27FA">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F44C">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F594">
            <w:pPr>
              <w:ind w:firstLine="640"/>
              <w:jc w:val="center"/>
              <w:rPr>
                <w:rFonts w:ascii="仿宋" w:hAnsi="仿宋" w:eastAsia="仿宋" w:cs="仿宋"/>
                <w:color w:val="000000"/>
                <w:sz w:val="32"/>
                <w:szCs w:val="32"/>
              </w:rPr>
            </w:pPr>
          </w:p>
        </w:tc>
      </w:tr>
      <w:tr w14:paraId="413800E9">
        <w:tblPrEx>
          <w:tblCellMar>
            <w:top w:w="0" w:type="dxa"/>
            <w:left w:w="108" w:type="dxa"/>
            <w:bottom w:w="0" w:type="dxa"/>
            <w:right w:w="108" w:type="dxa"/>
          </w:tblCellMar>
        </w:tblPrEx>
        <w:trPr>
          <w:trHeight w:val="5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ACEE">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A226D">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FF7D">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6A4B">
            <w:pPr>
              <w:ind w:firstLine="640"/>
              <w:jc w:val="center"/>
              <w:rPr>
                <w:rFonts w:ascii="仿宋" w:hAnsi="仿宋" w:eastAsia="仿宋" w:cs="仿宋"/>
                <w:color w:val="000000"/>
                <w:sz w:val="32"/>
                <w:szCs w:val="3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A391">
            <w:pPr>
              <w:ind w:firstLine="640"/>
              <w:jc w:val="center"/>
              <w:rPr>
                <w:rFonts w:ascii="仿宋" w:hAnsi="仿宋" w:eastAsia="仿宋" w:cs="仿宋"/>
                <w:color w:val="000000"/>
                <w:sz w:val="32"/>
                <w:szCs w:val="32"/>
              </w:rPr>
            </w:pPr>
          </w:p>
        </w:tc>
      </w:tr>
    </w:tbl>
    <w:p w14:paraId="6D3CF7CC">
      <w:pPr>
        <w:ind w:firstLine="720"/>
        <w:jc w:val="center"/>
        <w:rPr>
          <w:rFonts w:hint="eastAsia" w:ascii="宋体" w:hAnsi="宋体"/>
          <w:sz w:val="36"/>
          <w:szCs w:val="36"/>
        </w:rPr>
      </w:pPr>
    </w:p>
    <w:p w14:paraId="538EB875">
      <w:pPr>
        <w:ind w:firstLine="720"/>
        <w:jc w:val="center"/>
        <w:rPr>
          <w:rFonts w:ascii="宋体" w:hAnsi="宋体"/>
          <w:sz w:val="36"/>
          <w:szCs w:val="36"/>
        </w:rPr>
      </w:pPr>
      <w:r>
        <w:rPr>
          <w:rFonts w:hint="eastAsia" w:ascii="宋体" w:hAnsi="宋体"/>
          <w:sz w:val="36"/>
          <w:szCs w:val="36"/>
        </w:rPr>
        <w:t>20XX年汛期人员转移避险责任</w:t>
      </w:r>
      <w:r>
        <w:rPr>
          <w:rFonts w:hint="eastAsia" w:ascii="宋体" w:hAnsi="宋体"/>
          <w:sz w:val="36"/>
          <w:szCs w:val="36"/>
          <w:lang w:eastAsia="zh-CN"/>
        </w:rPr>
        <w:t>台账</w:t>
      </w:r>
    </w:p>
    <w:p w14:paraId="1D367312">
      <w:pPr>
        <w:ind w:firstLine="720"/>
        <w:jc w:val="center"/>
        <w:rPr>
          <w:rFonts w:ascii="宋体" w:hAnsi="宋体"/>
          <w:sz w:val="36"/>
          <w:szCs w:val="36"/>
        </w:rPr>
      </w:pPr>
      <w:r>
        <w:rPr>
          <w:rFonts w:hint="eastAsia" w:ascii="宋体" w:hAnsi="宋体"/>
          <w:sz w:val="36"/>
          <w:szCs w:val="36"/>
        </w:rPr>
        <w:t>（组级）</w:t>
      </w:r>
    </w:p>
    <w:p w14:paraId="5273222E">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填报单位：       乡镇（苏木）        村        组</w:t>
      </w:r>
    </w:p>
    <w:tbl>
      <w:tblPr>
        <w:tblStyle w:val="21"/>
        <w:tblW w:w="8891" w:type="dxa"/>
        <w:jc w:val="center"/>
        <w:tblLayout w:type="fixed"/>
        <w:tblCellMar>
          <w:top w:w="0" w:type="dxa"/>
          <w:left w:w="108" w:type="dxa"/>
          <w:bottom w:w="0" w:type="dxa"/>
          <w:right w:w="108" w:type="dxa"/>
        </w:tblCellMar>
      </w:tblPr>
      <w:tblGrid>
        <w:gridCol w:w="2066"/>
        <w:gridCol w:w="2086"/>
        <w:gridCol w:w="1514"/>
        <w:gridCol w:w="2081"/>
        <w:gridCol w:w="1144"/>
      </w:tblGrid>
      <w:tr w14:paraId="5FDF8EDD">
        <w:tblPrEx>
          <w:tblCellMar>
            <w:top w:w="0" w:type="dxa"/>
            <w:left w:w="108" w:type="dxa"/>
            <w:bottom w:w="0" w:type="dxa"/>
            <w:right w:w="108" w:type="dxa"/>
          </w:tblCellMar>
        </w:tblPrEx>
        <w:trPr>
          <w:trHeight w:val="480" w:hRule="atLeast"/>
          <w:jc w:val="center"/>
        </w:trPr>
        <w:tc>
          <w:tcPr>
            <w:tcW w:w="41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A76B8">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责任人</w:t>
            </w:r>
          </w:p>
        </w:tc>
        <w:tc>
          <w:tcPr>
            <w:tcW w:w="35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66D6">
            <w:pPr>
              <w:widowControl/>
              <w:ind w:firstLine="64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包联户</w:t>
            </w:r>
          </w:p>
        </w:tc>
        <w:tc>
          <w:tcPr>
            <w:tcW w:w="11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404E1">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备注</w:t>
            </w:r>
          </w:p>
        </w:tc>
      </w:tr>
      <w:tr w14:paraId="3DE2D7F5">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8992">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责任人姓名</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E014">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联系电话</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AB54">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包联户名</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B0E75">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联系电话</w:t>
            </w:r>
          </w:p>
        </w:tc>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3089">
            <w:pPr>
              <w:ind w:firstLine="640"/>
              <w:jc w:val="center"/>
              <w:rPr>
                <w:rFonts w:ascii="仿宋" w:hAnsi="仿宋" w:eastAsia="仿宋" w:cs="仿宋"/>
                <w:color w:val="000000"/>
                <w:sz w:val="32"/>
                <w:szCs w:val="32"/>
              </w:rPr>
            </w:pPr>
          </w:p>
        </w:tc>
      </w:tr>
      <w:tr w14:paraId="707ED6CD">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697F">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5553">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373C">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张×</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7DA9">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6D2C">
            <w:pPr>
              <w:ind w:firstLine="640"/>
              <w:jc w:val="center"/>
              <w:rPr>
                <w:rFonts w:ascii="仿宋" w:hAnsi="仿宋" w:eastAsia="仿宋" w:cs="仿宋"/>
                <w:color w:val="000000"/>
                <w:sz w:val="32"/>
                <w:szCs w:val="32"/>
              </w:rPr>
            </w:pPr>
          </w:p>
        </w:tc>
      </w:tr>
      <w:tr w14:paraId="7248419D">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2A380">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7281">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6C5C">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李×</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E718">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91655">
            <w:pPr>
              <w:ind w:firstLine="640"/>
              <w:jc w:val="center"/>
              <w:rPr>
                <w:rFonts w:ascii="仿宋" w:hAnsi="仿宋" w:eastAsia="仿宋" w:cs="仿宋"/>
                <w:color w:val="000000"/>
                <w:sz w:val="32"/>
                <w:szCs w:val="32"/>
              </w:rPr>
            </w:pPr>
          </w:p>
        </w:tc>
      </w:tr>
      <w:tr w14:paraId="638F71F0">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C32D">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E004">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C266">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王×</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B9C4">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9546">
            <w:pPr>
              <w:ind w:firstLine="640"/>
              <w:jc w:val="center"/>
              <w:rPr>
                <w:rFonts w:ascii="仿宋" w:hAnsi="仿宋" w:eastAsia="仿宋" w:cs="仿宋"/>
                <w:color w:val="000000"/>
                <w:sz w:val="32"/>
                <w:szCs w:val="32"/>
              </w:rPr>
            </w:pPr>
          </w:p>
        </w:tc>
      </w:tr>
      <w:tr w14:paraId="546F5AD4">
        <w:tblPrEx>
          <w:tblCellMar>
            <w:top w:w="0" w:type="dxa"/>
            <w:left w:w="108" w:type="dxa"/>
            <w:bottom w:w="0" w:type="dxa"/>
            <w:right w:w="108" w:type="dxa"/>
          </w:tblCellMar>
        </w:tblPrEx>
        <w:trPr>
          <w:trHeight w:val="525" w:hRule="atLeast"/>
          <w:jc w:val="center"/>
        </w:trPr>
        <w:tc>
          <w:tcPr>
            <w:tcW w:w="20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5866">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w:t>
            </w:r>
          </w:p>
        </w:tc>
        <w:tc>
          <w:tcPr>
            <w:tcW w:w="20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671A">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3EF63">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张×</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25B2">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E128">
            <w:pPr>
              <w:ind w:firstLine="640"/>
              <w:jc w:val="center"/>
              <w:rPr>
                <w:rFonts w:ascii="仿宋" w:hAnsi="仿宋" w:eastAsia="仿宋" w:cs="仿宋"/>
                <w:color w:val="000000"/>
                <w:sz w:val="32"/>
                <w:szCs w:val="32"/>
              </w:rPr>
            </w:pPr>
          </w:p>
        </w:tc>
      </w:tr>
      <w:tr w14:paraId="338124DD">
        <w:tblPrEx>
          <w:tblCellMar>
            <w:top w:w="0" w:type="dxa"/>
            <w:left w:w="108" w:type="dxa"/>
            <w:bottom w:w="0" w:type="dxa"/>
            <w:right w:w="108" w:type="dxa"/>
          </w:tblCellMar>
        </w:tblPrEx>
        <w:trPr>
          <w:trHeight w:val="525" w:hRule="atLeast"/>
          <w:jc w:val="center"/>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6AFE">
            <w:pPr>
              <w:ind w:firstLine="640"/>
              <w:jc w:val="center"/>
              <w:rPr>
                <w:rFonts w:ascii="仿宋" w:hAnsi="仿宋" w:eastAsia="仿宋" w:cs="仿宋"/>
                <w:color w:val="000000"/>
                <w:sz w:val="32"/>
                <w:szCs w:val="32"/>
              </w:rPr>
            </w:pPr>
          </w:p>
        </w:tc>
        <w:tc>
          <w:tcPr>
            <w:tcW w:w="20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161C">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00CAF">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李×</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064B">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8F89">
            <w:pPr>
              <w:ind w:firstLine="640"/>
              <w:jc w:val="center"/>
              <w:rPr>
                <w:rFonts w:ascii="仿宋" w:hAnsi="仿宋" w:eastAsia="仿宋" w:cs="仿宋"/>
                <w:color w:val="000000"/>
                <w:sz w:val="32"/>
                <w:szCs w:val="32"/>
              </w:rPr>
            </w:pPr>
          </w:p>
        </w:tc>
      </w:tr>
      <w:tr w14:paraId="22280371">
        <w:tblPrEx>
          <w:tblCellMar>
            <w:top w:w="0" w:type="dxa"/>
            <w:left w:w="108" w:type="dxa"/>
            <w:bottom w:w="0" w:type="dxa"/>
            <w:right w:w="108" w:type="dxa"/>
          </w:tblCellMar>
        </w:tblPrEx>
        <w:trPr>
          <w:trHeight w:val="525" w:hRule="atLeast"/>
          <w:jc w:val="center"/>
        </w:trPr>
        <w:tc>
          <w:tcPr>
            <w:tcW w:w="20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43B5">
            <w:pPr>
              <w:ind w:firstLine="640"/>
              <w:jc w:val="center"/>
              <w:rPr>
                <w:rFonts w:ascii="仿宋" w:hAnsi="仿宋" w:eastAsia="仿宋" w:cs="仿宋"/>
                <w:color w:val="000000"/>
                <w:sz w:val="32"/>
                <w:szCs w:val="32"/>
              </w:rPr>
            </w:pPr>
          </w:p>
        </w:tc>
        <w:tc>
          <w:tcPr>
            <w:tcW w:w="20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2942">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A3A34">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王×</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69D7">
            <w:pPr>
              <w:widowControl/>
              <w:ind w:left="0" w:leftChars="0" w:firstLine="0" w:firstLineChars="0"/>
              <w:jc w:val="center"/>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1*******</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E790">
            <w:pPr>
              <w:ind w:firstLine="640"/>
              <w:jc w:val="center"/>
              <w:rPr>
                <w:rFonts w:ascii="仿宋" w:hAnsi="仿宋" w:eastAsia="仿宋" w:cs="仿宋"/>
                <w:color w:val="000000"/>
                <w:sz w:val="32"/>
                <w:szCs w:val="32"/>
              </w:rPr>
            </w:pPr>
          </w:p>
        </w:tc>
      </w:tr>
      <w:tr w14:paraId="52074D59">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E1F7">
            <w:pPr>
              <w:ind w:firstLine="640"/>
              <w:jc w:val="center"/>
              <w:rPr>
                <w:rFonts w:ascii="仿宋" w:hAnsi="仿宋" w:eastAsia="仿宋" w:cs="仿宋"/>
                <w:color w:val="000000"/>
                <w:sz w:val="32"/>
                <w:szCs w:val="32"/>
              </w:rPr>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2287">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66EE">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46D0">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9399">
            <w:pPr>
              <w:ind w:firstLine="640"/>
              <w:jc w:val="center"/>
              <w:rPr>
                <w:rFonts w:ascii="仿宋" w:hAnsi="仿宋" w:eastAsia="仿宋" w:cs="仿宋"/>
                <w:color w:val="000000"/>
                <w:sz w:val="32"/>
                <w:szCs w:val="32"/>
              </w:rPr>
            </w:pPr>
          </w:p>
        </w:tc>
      </w:tr>
      <w:tr w14:paraId="1B1E0D8D">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784C">
            <w:pPr>
              <w:ind w:firstLine="640"/>
              <w:jc w:val="center"/>
              <w:rPr>
                <w:rFonts w:ascii="仿宋" w:hAnsi="仿宋" w:eastAsia="仿宋" w:cs="仿宋"/>
                <w:color w:val="000000"/>
                <w:sz w:val="32"/>
                <w:szCs w:val="32"/>
              </w:rPr>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5784">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3BEB">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4D7F">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1AC4">
            <w:pPr>
              <w:ind w:firstLine="640"/>
              <w:jc w:val="center"/>
              <w:rPr>
                <w:rFonts w:ascii="仿宋" w:hAnsi="仿宋" w:eastAsia="仿宋" w:cs="仿宋"/>
                <w:color w:val="000000"/>
                <w:sz w:val="32"/>
                <w:szCs w:val="32"/>
              </w:rPr>
            </w:pPr>
          </w:p>
        </w:tc>
      </w:tr>
      <w:tr w14:paraId="795ECA2B">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F345">
            <w:pPr>
              <w:ind w:firstLine="640"/>
              <w:jc w:val="center"/>
              <w:rPr>
                <w:rFonts w:ascii="仿宋" w:hAnsi="仿宋" w:eastAsia="仿宋" w:cs="仿宋"/>
                <w:color w:val="000000"/>
                <w:sz w:val="32"/>
                <w:szCs w:val="32"/>
              </w:rPr>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6BBD">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EF92">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210D">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D570">
            <w:pPr>
              <w:ind w:firstLine="640"/>
              <w:jc w:val="center"/>
              <w:rPr>
                <w:rFonts w:ascii="仿宋" w:hAnsi="仿宋" w:eastAsia="仿宋" w:cs="仿宋"/>
                <w:color w:val="000000"/>
                <w:sz w:val="32"/>
                <w:szCs w:val="32"/>
              </w:rPr>
            </w:pPr>
          </w:p>
        </w:tc>
      </w:tr>
      <w:tr w14:paraId="621E3A7A">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D2C0">
            <w:pPr>
              <w:ind w:firstLine="640"/>
              <w:jc w:val="center"/>
              <w:rPr>
                <w:rFonts w:ascii="仿宋" w:hAnsi="仿宋" w:eastAsia="仿宋" w:cs="仿宋"/>
                <w:color w:val="000000"/>
                <w:sz w:val="32"/>
                <w:szCs w:val="32"/>
              </w:rPr>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F4CB">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9757">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DB49">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8DC9">
            <w:pPr>
              <w:ind w:firstLine="640"/>
              <w:jc w:val="center"/>
              <w:rPr>
                <w:rFonts w:ascii="仿宋" w:hAnsi="仿宋" w:eastAsia="仿宋" w:cs="仿宋"/>
                <w:color w:val="000000"/>
                <w:sz w:val="32"/>
                <w:szCs w:val="32"/>
              </w:rPr>
            </w:pPr>
          </w:p>
        </w:tc>
      </w:tr>
      <w:tr w14:paraId="7284A565">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6341">
            <w:pPr>
              <w:ind w:firstLine="640"/>
              <w:jc w:val="center"/>
              <w:rPr>
                <w:rFonts w:ascii="仿宋" w:hAnsi="仿宋" w:eastAsia="仿宋" w:cs="仿宋"/>
                <w:color w:val="000000"/>
                <w:sz w:val="32"/>
                <w:szCs w:val="32"/>
              </w:rPr>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5E4C">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9AC1">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C376">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5B03">
            <w:pPr>
              <w:ind w:firstLine="640"/>
              <w:jc w:val="center"/>
              <w:rPr>
                <w:rFonts w:ascii="仿宋" w:hAnsi="仿宋" w:eastAsia="仿宋" w:cs="仿宋"/>
                <w:color w:val="000000"/>
                <w:sz w:val="32"/>
                <w:szCs w:val="32"/>
              </w:rPr>
            </w:pPr>
          </w:p>
        </w:tc>
      </w:tr>
      <w:tr w14:paraId="2A0801C8">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4A74">
            <w:pPr>
              <w:pStyle w:val="2"/>
              <w:ind w:left="0" w:leftChars="0" w:firstLine="0" w:firstLineChars="0"/>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8CFB">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D5D1">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E537">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726B">
            <w:pPr>
              <w:ind w:firstLine="640"/>
              <w:jc w:val="center"/>
              <w:rPr>
                <w:rFonts w:ascii="仿宋" w:hAnsi="仿宋" w:eastAsia="仿宋" w:cs="仿宋"/>
                <w:color w:val="000000"/>
                <w:sz w:val="32"/>
                <w:szCs w:val="32"/>
              </w:rPr>
            </w:pPr>
          </w:p>
        </w:tc>
      </w:tr>
      <w:tr w14:paraId="6947CFC5">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C0E0">
            <w:pPr>
              <w:pStyle w:val="2"/>
              <w:ind w:left="0" w:leftChars="0" w:firstLine="0" w:firstLineChars="0"/>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7B96">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8EBA">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F32E">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0387">
            <w:pPr>
              <w:ind w:firstLine="640"/>
              <w:jc w:val="center"/>
              <w:rPr>
                <w:rFonts w:ascii="仿宋" w:hAnsi="仿宋" w:eastAsia="仿宋" w:cs="仿宋"/>
                <w:color w:val="000000"/>
                <w:sz w:val="32"/>
                <w:szCs w:val="32"/>
              </w:rPr>
            </w:pPr>
          </w:p>
        </w:tc>
      </w:tr>
      <w:tr w14:paraId="20C5A2D4">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22D3">
            <w:pPr>
              <w:pStyle w:val="2"/>
              <w:ind w:left="0" w:leftChars="0" w:firstLine="0" w:firstLineChars="0"/>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982F">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2E6F">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CBE7">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7DC9">
            <w:pPr>
              <w:ind w:firstLine="640"/>
              <w:jc w:val="center"/>
              <w:rPr>
                <w:rFonts w:ascii="仿宋" w:hAnsi="仿宋" w:eastAsia="仿宋" w:cs="仿宋"/>
                <w:color w:val="000000"/>
                <w:sz w:val="32"/>
                <w:szCs w:val="32"/>
              </w:rPr>
            </w:pPr>
          </w:p>
        </w:tc>
      </w:tr>
      <w:tr w14:paraId="31B11BA8">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922D">
            <w:pPr>
              <w:pStyle w:val="2"/>
              <w:ind w:left="0" w:leftChars="0" w:firstLine="0" w:firstLineChars="0"/>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5CE4">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2F0E2">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C3FB">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442A">
            <w:pPr>
              <w:ind w:firstLine="640"/>
              <w:jc w:val="center"/>
              <w:rPr>
                <w:rFonts w:ascii="仿宋" w:hAnsi="仿宋" w:eastAsia="仿宋" w:cs="仿宋"/>
                <w:color w:val="000000"/>
                <w:sz w:val="32"/>
                <w:szCs w:val="32"/>
              </w:rPr>
            </w:pPr>
          </w:p>
        </w:tc>
      </w:tr>
      <w:tr w14:paraId="6A9EDE5F">
        <w:tblPrEx>
          <w:tblCellMar>
            <w:top w:w="0" w:type="dxa"/>
            <w:left w:w="108" w:type="dxa"/>
            <w:bottom w:w="0" w:type="dxa"/>
            <w:right w:w="108" w:type="dxa"/>
          </w:tblCellMar>
        </w:tblPrEx>
        <w:trPr>
          <w:trHeight w:val="525" w:hRule="atLeast"/>
          <w:jc w:val="center"/>
        </w:trPr>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95B6">
            <w:pPr>
              <w:pStyle w:val="2"/>
              <w:ind w:left="0" w:leftChars="0" w:firstLine="0" w:firstLineChars="0"/>
            </w:pP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02ACB">
            <w:pPr>
              <w:ind w:firstLine="640"/>
              <w:jc w:val="center"/>
              <w:rPr>
                <w:rFonts w:ascii="仿宋" w:hAnsi="仿宋" w:eastAsia="仿宋" w:cs="仿宋"/>
                <w:color w:val="000000"/>
                <w:sz w:val="32"/>
                <w:szCs w:val="32"/>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E842">
            <w:pPr>
              <w:ind w:firstLine="640"/>
              <w:jc w:val="center"/>
              <w:rPr>
                <w:rFonts w:ascii="仿宋" w:hAnsi="仿宋" w:eastAsia="仿宋" w:cs="仿宋"/>
                <w:color w:val="000000"/>
                <w:sz w:val="32"/>
                <w:szCs w:val="32"/>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D8CE">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07F2">
            <w:pPr>
              <w:ind w:firstLine="640"/>
              <w:jc w:val="center"/>
              <w:rPr>
                <w:rFonts w:ascii="仿宋" w:hAnsi="仿宋" w:eastAsia="仿宋" w:cs="仿宋"/>
                <w:color w:val="000000"/>
                <w:sz w:val="32"/>
                <w:szCs w:val="32"/>
              </w:rPr>
            </w:pPr>
          </w:p>
        </w:tc>
      </w:tr>
    </w:tbl>
    <w:p w14:paraId="5FB37D22">
      <w:pPr>
        <w:ind w:firstLine="720"/>
        <w:jc w:val="center"/>
        <w:rPr>
          <w:rFonts w:hint="eastAsia" w:ascii="宋体" w:hAnsi="宋体"/>
          <w:sz w:val="36"/>
          <w:szCs w:val="36"/>
        </w:rPr>
      </w:pPr>
    </w:p>
    <w:p w14:paraId="51522A81">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p>
    <w:p w14:paraId="7907AE79">
      <w:pPr>
        <w:ind w:firstLine="720"/>
        <w:jc w:val="center"/>
        <w:rPr>
          <w:rFonts w:ascii="宋体" w:hAnsi="宋体"/>
          <w:sz w:val="36"/>
          <w:szCs w:val="36"/>
        </w:rPr>
      </w:pPr>
      <w:r>
        <w:rPr>
          <w:rFonts w:hint="eastAsia" w:ascii="宋体" w:hAnsi="宋体"/>
          <w:sz w:val="36"/>
          <w:szCs w:val="36"/>
        </w:rPr>
        <w:t>20XX年山洪灾害危险区隐患点台账</w:t>
      </w:r>
    </w:p>
    <w:p w14:paraId="716BE6D1">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填报单位：      乡镇(苏木）       村</w:t>
      </w:r>
    </w:p>
    <w:tbl>
      <w:tblPr>
        <w:tblStyle w:val="21"/>
        <w:tblW w:w="9300" w:type="dxa"/>
        <w:jc w:val="center"/>
        <w:tblLayout w:type="fixed"/>
        <w:tblCellMar>
          <w:top w:w="0" w:type="dxa"/>
          <w:left w:w="108" w:type="dxa"/>
          <w:bottom w:w="0" w:type="dxa"/>
          <w:right w:w="108" w:type="dxa"/>
        </w:tblCellMar>
      </w:tblPr>
      <w:tblGrid>
        <w:gridCol w:w="1406"/>
        <w:gridCol w:w="1909"/>
        <w:gridCol w:w="1980"/>
        <w:gridCol w:w="1511"/>
        <w:gridCol w:w="1350"/>
        <w:gridCol w:w="1144"/>
      </w:tblGrid>
      <w:tr w14:paraId="7D271C01">
        <w:tblPrEx>
          <w:tblCellMar>
            <w:top w:w="0" w:type="dxa"/>
            <w:left w:w="108" w:type="dxa"/>
            <w:bottom w:w="0" w:type="dxa"/>
            <w:right w:w="108" w:type="dxa"/>
          </w:tblCellMar>
        </w:tblPrEx>
        <w:trPr>
          <w:trHeight w:val="405"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4E8A">
            <w:pPr>
              <w:widowControl/>
              <w:ind w:left="0" w:leftChars="0" w:firstLine="0" w:firstLineChars="0"/>
              <w:jc w:val="both"/>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名称</w:t>
            </w: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5EAB">
            <w:pPr>
              <w:widowControl/>
              <w:ind w:left="0" w:leftChars="0" w:firstLine="0" w:firstLineChars="0"/>
              <w:jc w:val="both"/>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位置</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355C">
            <w:pPr>
              <w:widowControl/>
              <w:ind w:left="0" w:leftChars="0" w:firstLine="0" w:firstLineChars="0"/>
              <w:jc w:val="both"/>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防御重点</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DB77">
            <w:pPr>
              <w:widowControl/>
              <w:ind w:left="0" w:leftChars="0" w:firstLine="0" w:firstLineChars="0"/>
              <w:jc w:val="both"/>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防御措施</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E573">
            <w:pPr>
              <w:widowControl/>
              <w:ind w:left="0" w:leftChars="0" w:firstLine="0" w:firstLineChars="0"/>
              <w:jc w:val="both"/>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责任人</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9E938">
            <w:pPr>
              <w:widowControl/>
              <w:ind w:left="0" w:leftChars="0" w:firstLine="0" w:firstLineChars="0"/>
              <w:jc w:val="both"/>
              <w:textAlignment w:val="center"/>
              <w:rPr>
                <w:rFonts w:ascii="仿宋" w:hAnsi="仿宋" w:eastAsia="仿宋" w:cs="仿宋"/>
                <w:color w:val="000000"/>
                <w:sz w:val="32"/>
                <w:szCs w:val="32"/>
              </w:rPr>
            </w:pPr>
            <w:r>
              <w:rPr>
                <w:rFonts w:hint="eastAsia" w:ascii="仿宋" w:hAnsi="仿宋" w:eastAsia="仿宋" w:cs="仿宋"/>
                <w:color w:val="000000"/>
                <w:kern w:val="0"/>
                <w:sz w:val="32"/>
                <w:szCs w:val="32"/>
              </w:rPr>
              <w:t>备注</w:t>
            </w:r>
          </w:p>
        </w:tc>
      </w:tr>
      <w:tr w14:paraId="0883DA06">
        <w:tblPrEx>
          <w:tblCellMar>
            <w:top w:w="0" w:type="dxa"/>
            <w:left w:w="108" w:type="dxa"/>
            <w:bottom w:w="0" w:type="dxa"/>
            <w:right w:w="108" w:type="dxa"/>
          </w:tblCellMar>
        </w:tblPrEx>
        <w:trPr>
          <w:trHeight w:val="405"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E2725">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9094">
            <w:pPr>
              <w:ind w:firstLine="640"/>
              <w:jc w:val="center"/>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92BA">
            <w:pPr>
              <w:ind w:firstLine="640"/>
              <w:jc w:val="center"/>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7C6A">
            <w:pPr>
              <w:ind w:firstLine="640"/>
              <w:jc w:val="center"/>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F9F5">
            <w:pPr>
              <w:ind w:firstLine="640"/>
              <w:jc w:val="center"/>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C775">
            <w:pPr>
              <w:ind w:firstLine="640"/>
              <w:rPr>
                <w:rFonts w:ascii="仿宋" w:hAnsi="仿宋" w:eastAsia="仿宋" w:cs="仿宋"/>
                <w:color w:val="000000"/>
                <w:sz w:val="32"/>
                <w:szCs w:val="32"/>
              </w:rPr>
            </w:pPr>
          </w:p>
        </w:tc>
      </w:tr>
      <w:tr w14:paraId="6C8359AC">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2FBC">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FF2A">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2B79">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3D97">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50ED">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6149">
            <w:pPr>
              <w:ind w:firstLine="640"/>
              <w:rPr>
                <w:rFonts w:ascii="仿宋" w:hAnsi="仿宋" w:eastAsia="仿宋" w:cs="仿宋"/>
                <w:color w:val="000000"/>
                <w:sz w:val="32"/>
                <w:szCs w:val="32"/>
              </w:rPr>
            </w:pPr>
          </w:p>
        </w:tc>
      </w:tr>
      <w:tr w14:paraId="5B89A37D">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DEB8">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C1DC">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E7A8">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4838">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4939">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0548">
            <w:pPr>
              <w:ind w:firstLine="640"/>
              <w:rPr>
                <w:rFonts w:ascii="仿宋" w:hAnsi="仿宋" w:eastAsia="仿宋" w:cs="仿宋"/>
                <w:color w:val="000000"/>
                <w:sz w:val="32"/>
                <w:szCs w:val="32"/>
              </w:rPr>
            </w:pPr>
          </w:p>
        </w:tc>
      </w:tr>
      <w:tr w14:paraId="520BECBC">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1481">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B61E">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4938">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6D46">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5F33">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E428">
            <w:pPr>
              <w:ind w:firstLine="640"/>
              <w:rPr>
                <w:rFonts w:ascii="仿宋" w:hAnsi="仿宋" w:eastAsia="仿宋" w:cs="仿宋"/>
                <w:color w:val="000000"/>
                <w:sz w:val="32"/>
                <w:szCs w:val="32"/>
              </w:rPr>
            </w:pPr>
          </w:p>
        </w:tc>
      </w:tr>
      <w:tr w14:paraId="69027AD2">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B2CC">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7C66">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C02C">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7B66">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D14F">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B5B7">
            <w:pPr>
              <w:ind w:firstLine="640"/>
              <w:rPr>
                <w:rFonts w:ascii="仿宋" w:hAnsi="仿宋" w:eastAsia="仿宋" w:cs="仿宋"/>
                <w:color w:val="000000"/>
                <w:sz w:val="32"/>
                <w:szCs w:val="32"/>
              </w:rPr>
            </w:pPr>
          </w:p>
        </w:tc>
      </w:tr>
      <w:tr w14:paraId="018CA291">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A24A">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08F7">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F537">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639B">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8C80">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E05E">
            <w:pPr>
              <w:ind w:firstLine="640"/>
              <w:rPr>
                <w:rFonts w:ascii="仿宋" w:hAnsi="仿宋" w:eastAsia="仿宋" w:cs="仿宋"/>
                <w:color w:val="000000"/>
                <w:sz w:val="32"/>
                <w:szCs w:val="32"/>
              </w:rPr>
            </w:pPr>
          </w:p>
        </w:tc>
      </w:tr>
      <w:tr w14:paraId="1E47A4D4">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0BCA">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5B61">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F295">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CA49">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703E">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02C2">
            <w:pPr>
              <w:ind w:firstLine="640"/>
              <w:rPr>
                <w:rFonts w:ascii="仿宋" w:hAnsi="仿宋" w:eastAsia="仿宋" w:cs="仿宋"/>
                <w:color w:val="000000"/>
                <w:sz w:val="32"/>
                <w:szCs w:val="32"/>
              </w:rPr>
            </w:pPr>
          </w:p>
        </w:tc>
      </w:tr>
      <w:tr w14:paraId="0D21469C">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557D">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7E5D">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15FA">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C48E">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53ECF">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FD97">
            <w:pPr>
              <w:ind w:firstLine="640"/>
              <w:rPr>
                <w:rFonts w:ascii="仿宋" w:hAnsi="仿宋" w:eastAsia="仿宋" w:cs="仿宋"/>
                <w:color w:val="000000"/>
                <w:sz w:val="32"/>
                <w:szCs w:val="32"/>
              </w:rPr>
            </w:pPr>
          </w:p>
        </w:tc>
      </w:tr>
      <w:tr w14:paraId="7B201BEF">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844D9">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8B0D">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1139">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02EB">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F00A">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E06C">
            <w:pPr>
              <w:ind w:firstLine="640"/>
              <w:rPr>
                <w:rFonts w:ascii="仿宋" w:hAnsi="仿宋" w:eastAsia="仿宋" w:cs="仿宋"/>
                <w:color w:val="000000"/>
                <w:sz w:val="32"/>
                <w:szCs w:val="32"/>
              </w:rPr>
            </w:pPr>
          </w:p>
        </w:tc>
      </w:tr>
      <w:tr w14:paraId="2780550E">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77C1">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592C">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CB9F">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C0D3">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B077">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F940">
            <w:pPr>
              <w:ind w:firstLine="640"/>
              <w:rPr>
                <w:rFonts w:ascii="仿宋" w:hAnsi="仿宋" w:eastAsia="仿宋" w:cs="仿宋"/>
                <w:color w:val="000000"/>
                <w:sz w:val="32"/>
                <w:szCs w:val="32"/>
              </w:rPr>
            </w:pPr>
          </w:p>
        </w:tc>
      </w:tr>
      <w:tr w14:paraId="4D7C3836">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B473">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B2D1">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637D">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80A3">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2EE6">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6ED2">
            <w:pPr>
              <w:ind w:firstLine="640"/>
              <w:rPr>
                <w:rFonts w:ascii="仿宋" w:hAnsi="仿宋" w:eastAsia="仿宋" w:cs="仿宋"/>
                <w:color w:val="000000"/>
                <w:sz w:val="32"/>
                <w:szCs w:val="32"/>
              </w:rPr>
            </w:pPr>
          </w:p>
        </w:tc>
      </w:tr>
      <w:tr w14:paraId="6AF15E37">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747B">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6FE8">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3742">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35DC">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8B50">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0DA8">
            <w:pPr>
              <w:ind w:firstLine="640"/>
              <w:rPr>
                <w:rFonts w:ascii="仿宋" w:hAnsi="仿宋" w:eastAsia="仿宋" w:cs="仿宋"/>
                <w:color w:val="000000"/>
                <w:sz w:val="32"/>
                <w:szCs w:val="32"/>
              </w:rPr>
            </w:pPr>
          </w:p>
        </w:tc>
      </w:tr>
      <w:tr w14:paraId="1B76E586">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18B6">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CD86">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5C40">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51AC">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65A5">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F155">
            <w:pPr>
              <w:ind w:firstLine="640"/>
              <w:rPr>
                <w:rFonts w:ascii="仿宋" w:hAnsi="仿宋" w:eastAsia="仿宋" w:cs="仿宋"/>
                <w:color w:val="000000"/>
                <w:sz w:val="32"/>
                <w:szCs w:val="32"/>
              </w:rPr>
            </w:pPr>
          </w:p>
        </w:tc>
      </w:tr>
      <w:tr w14:paraId="3A71ED63">
        <w:tblPrEx>
          <w:tblCellMar>
            <w:top w:w="0" w:type="dxa"/>
            <w:left w:w="108" w:type="dxa"/>
            <w:bottom w:w="0" w:type="dxa"/>
            <w:right w:w="108" w:type="dxa"/>
          </w:tblCellMar>
        </w:tblPrEx>
        <w:trPr>
          <w:trHeight w:val="480" w:hRule="atLeast"/>
          <w:jc w:val="center"/>
        </w:trPr>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17C0">
            <w:pPr>
              <w:ind w:firstLine="640"/>
              <w:rPr>
                <w:rFonts w:ascii="仿宋" w:hAnsi="仿宋" w:eastAsia="仿宋" w:cs="仿宋"/>
                <w:color w:val="000000"/>
                <w:sz w:val="32"/>
                <w:szCs w:val="32"/>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E947">
            <w:pPr>
              <w:ind w:firstLine="640"/>
              <w:rPr>
                <w:rFonts w:ascii="仿宋" w:hAnsi="仿宋" w:eastAsia="仿宋" w:cs="仿宋"/>
                <w:color w:val="000000"/>
                <w:sz w:val="32"/>
                <w:szCs w:val="32"/>
              </w:rPr>
            </w:pP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FCA3">
            <w:pPr>
              <w:ind w:firstLine="640"/>
              <w:rPr>
                <w:rFonts w:ascii="仿宋" w:hAnsi="仿宋" w:eastAsia="仿宋" w:cs="仿宋"/>
                <w:color w:val="000000"/>
                <w:sz w:val="32"/>
                <w:szCs w:val="32"/>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F4BC">
            <w:pPr>
              <w:ind w:firstLine="640"/>
              <w:rPr>
                <w:rFonts w:ascii="仿宋" w:hAnsi="仿宋" w:eastAsia="仿宋" w:cs="仿宋"/>
                <w:color w:val="000000"/>
                <w:sz w:val="32"/>
                <w:szCs w:val="3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BE57">
            <w:pPr>
              <w:ind w:firstLine="640"/>
              <w:rPr>
                <w:rFonts w:ascii="仿宋" w:hAnsi="仿宋" w:eastAsia="仿宋" w:cs="仿宋"/>
                <w:color w:val="000000"/>
                <w:sz w:val="32"/>
                <w:szCs w:val="32"/>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D4D8">
            <w:pPr>
              <w:ind w:firstLine="640"/>
              <w:rPr>
                <w:rFonts w:ascii="仿宋" w:hAnsi="仿宋" w:eastAsia="仿宋" w:cs="仿宋"/>
                <w:color w:val="000000"/>
                <w:sz w:val="32"/>
                <w:szCs w:val="32"/>
              </w:rPr>
            </w:pPr>
          </w:p>
        </w:tc>
      </w:tr>
    </w:tbl>
    <w:p w14:paraId="53B9B8B4">
      <w:pPr>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w:t>
      </w:r>
      <w:r>
        <w:rPr>
          <w:rFonts w:hint="eastAsia" w:asciiTheme="minorEastAsia" w:hAnsiTheme="minorEastAsia" w:cstheme="minorEastAsia"/>
          <w:sz w:val="24"/>
        </w:rPr>
        <w:t>1.</w:t>
      </w:r>
      <w:r>
        <w:rPr>
          <w:rFonts w:hint="eastAsia" w:asciiTheme="minorEastAsia" w:hAnsiTheme="minorEastAsia" w:eastAsiaTheme="minorEastAsia" w:cstheme="minorEastAsia"/>
          <w:sz w:val="24"/>
        </w:rPr>
        <w:t>名称指阻水桥梁、漫水路段、河道险点、灾害隐患点、削坡建房点、山洪沟口等</w:t>
      </w:r>
      <w:r>
        <w:rPr>
          <w:rFonts w:hint="eastAsia" w:asciiTheme="minorEastAsia" w:hAnsiTheme="minorEastAsia" w:cstheme="minorEastAsia"/>
          <w:sz w:val="24"/>
        </w:rPr>
        <w:t>；</w:t>
      </w:r>
    </w:p>
    <w:p w14:paraId="721B82B1">
      <w:pPr>
        <w:ind w:firstLine="480"/>
        <w:rPr>
          <w:rFonts w:asciiTheme="minorEastAsia" w:hAnsiTheme="minorEastAsia" w:eastAsiaTheme="minorEastAsia" w:cstheme="minorEastAsia"/>
          <w:sz w:val="24"/>
        </w:rPr>
      </w:pPr>
      <w:r>
        <w:rPr>
          <w:rFonts w:hint="eastAsia" w:asciiTheme="minorEastAsia" w:hAnsiTheme="minorEastAsia" w:cstheme="minorEastAsia"/>
          <w:sz w:val="24"/>
        </w:rPr>
        <w:t>2.</w:t>
      </w:r>
      <w:r>
        <w:rPr>
          <w:rFonts w:hint="eastAsia" w:asciiTheme="minorEastAsia" w:hAnsiTheme="minorEastAsia" w:eastAsiaTheme="minorEastAsia" w:cstheme="minorEastAsia"/>
          <w:sz w:val="24"/>
        </w:rPr>
        <w:t>具体措施指除险加固、河道清理、增加河坝高度、转移避险、险情巡查等</w:t>
      </w:r>
      <w:r>
        <w:rPr>
          <w:rFonts w:hint="eastAsia" w:asciiTheme="minorEastAsia" w:hAnsiTheme="minorEastAsia" w:cstheme="minorEastAsia"/>
          <w:sz w:val="24"/>
        </w:rPr>
        <w:t>；</w:t>
      </w:r>
    </w:p>
    <w:p w14:paraId="47BF89BE">
      <w:pPr>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3、防御重点指崩塌、滑坡、泥石流、水淹等</w:t>
      </w:r>
      <w:r>
        <w:rPr>
          <w:rFonts w:hint="eastAsia" w:asciiTheme="minorEastAsia" w:hAnsiTheme="minorEastAsia" w:cstheme="minorEastAsia"/>
          <w:sz w:val="24"/>
        </w:rPr>
        <w:t>。</w:t>
      </w:r>
    </w:p>
    <w:p w14:paraId="7140612E">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ascii="宋体" w:hAnsi="宋体"/>
          <w:sz w:val="32"/>
          <w:szCs w:val="32"/>
        </w:rPr>
      </w:pPr>
      <w:r>
        <w:rPr>
          <w:rFonts w:hint="eastAsia" w:ascii="宋体" w:hAnsi="宋体"/>
          <w:sz w:val="32"/>
          <w:szCs w:val="32"/>
        </w:rPr>
        <w:br w:type="page"/>
      </w:r>
      <w:bookmarkStart w:id="649" w:name="_Toc21372"/>
      <w:r>
        <w:rPr>
          <w:rFonts w:hint="eastAsia" w:ascii="仿宋_GB2312" w:hAnsi="仿宋_GB2312" w:eastAsia="仿宋_GB2312" w:cs="仿宋_GB2312"/>
          <w:b w:val="0"/>
          <w:bCs/>
          <w:sz w:val="32"/>
          <w:szCs w:val="32"/>
        </w:rPr>
        <w:t>附件8：旗防汛抗旱指挥部往来行文参照模板</w:t>
      </w:r>
      <w:bookmarkEnd w:id="649"/>
    </w:p>
    <w:p w14:paraId="066526A6">
      <w:pPr>
        <w:ind w:firstLine="0" w:firstLineChars="0"/>
        <w:jc w:val="center"/>
        <w:rPr>
          <w:rFonts w:ascii="黑体" w:hAnsi="黑体" w:eastAsia="黑体" w:cs="黑体"/>
          <w:kern w:val="0"/>
          <w:sz w:val="32"/>
          <w:szCs w:val="32"/>
        </w:rPr>
      </w:pPr>
    </w:p>
    <w:p w14:paraId="6AD22657">
      <w:pPr>
        <w:ind w:firstLine="0" w:firstLineChars="0"/>
        <w:jc w:val="center"/>
        <w:rPr>
          <w:rFonts w:hint="eastAsia" w:ascii="方正大标宋简体" w:hAnsi="宋体" w:eastAsia="方正大标宋简体"/>
          <w:bCs/>
          <w:kern w:val="0"/>
          <w:sz w:val="44"/>
          <w:szCs w:val="44"/>
        </w:rPr>
      </w:pPr>
      <w:r>
        <w:rPr>
          <w:rFonts w:hint="eastAsia" w:ascii="方正大标宋简体" w:hAnsi="宋体" w:eastAsia="方正大标宋简体"/>
          <w:bCs/>
          <w:kern w:val="0"/>
          <w:sz w:val="44"/>
          <w:szCs w:val="44"/>
        </w:rPr>
        <w:t>关于提出启动应急响应的建议</w:t>
      </w:r>
    </w:p>
    <w:p w14:paraId="2B5A470E">
      <w:pPr>
        <w:pStyle w:val="2"/>
        <w:ind w:firstLine="420"/>
      </w:pPr>
    </w:p>
    <w:p w14:paraId="7C691F58">
      <w:pPr>
        <w:adjustRightInd w:val="0"/>
        <w:snapToGrid w:val="0"/>
        <w:ind w:left="0" w:leftChars="0" w:firstLine="0" w:firstLineChars="0"/>
        <w:rPr>
          <w:rFonts w:ascii="仿宋_GB2312" w:hAnsi="宋体" w:eastAsia="仿宋_GB2312"/>
          <w:sz w:val="32"/>
          <w:szCs w:val="32"/>
        </w:rPr>
      </w:pPr>
      <w:r>
        <w:rPr>
          <w:rFonts w:hint="eastAsia" w:ascii="仿宋_GB2312" w:hAnsi="宋体" w:eastAsia="仿宋_GB2312"/>
          <w:sz w:val="32"/>
          <w:szCs w:val="32"/>
        </w:rPr>
        <w:t>旗防汛抗旱指挥部：</w:t>
      </w:r>
    </w:p>
    <w:p w14:paraId="64DFB4D9">
      <w:pPr>
        <w:adjustRightInd w:val="0"/>
        <w:snapToGrid w:val="0"/>
        <w:ind w:firstLine="640"/>
        <w:rPr>
          <w:rFonts w:ascii="仿宋_GB2312" w:hAnsi="宋体" w:eastAsia="仿宋_GB2312"/>
          <w:sz w:val="32"/>
          <w:szCs w:val="32"/>
        </w:rPr>
      </w:pPr>
      <w:r>
        <w:rPr>
          <w:rFonts w:hint="eastAsia" w:ascii="仿宋_GB2312" w:hAnsi="宋体" w:eastAsia="仿宋_GB2312"/>
          <w:sz w:val="32"/>
          <w:szCs w:val="32"/>
        </w:rPr>
        <w:t>根据我局监测预报结果，7月18日至19日，旗局地将有大到暴雨，我局于7月17日10时发布降雨黄色预警。根据《克什克腾旗防汛抗旱应急预案》有关规定，提出启动应急响应的建议。</w:t>
      </w:r>
    </w:p>
    <w:p w14:paraId="1A99B002">
      <w:pPr>
        <w:adjustRightInd w:val="0"/>
        <w:snapToGrid w:val="0"/>
        <w:ind w:firstLine="5280" w:firstLineChars="1650"/>
        <w:rPr>
          <w:rFonts w:hint="eastAsia" w:ascii="仿宋_GB2312" w:hAnsi="宋体" w:eastAsia="仿宋_GB2312"/>
          <w:sz w:val="32"/>
          <w:szCs w:val="32"/>
        </w:rPr>
      </w:pPr>
    </w:p>
    <w:p w14:paraId="19B32B17">
      <w:pPr>
        <w:adjustRightInd w:val="0"/>
        <w:snapToGrid w:val="0"/>
        <w:ind w:firstLine="5280" w:firstLineChars="1650"/>
        <w:rPr>
          <w:rFonts w:ascii="仿宋_GB2312" w:hAnsi="宋体" w:eastAsia="仿宋_GB2312"/>
          <w:sz w:val="32"/>
          <w:szCs w:val="32"/>
        </w:rPr>
      </w:pPr>
      <w:r>
        <w:rPr>
          <w:rFonts w:hint="eastAsia" w:ascii="仿宋_GB2312" w:hAnsi="宋体" w:eastAsia="仿宋_GB2312"/>
          <w:sz w:val="32"/>
          <w:szCs w:val="32"/>
        </w:rPr>
        <w:t>XXX单位名称</w:t>
      </w:r>
    </w:p>
    <w:p w14:paraId="5641751C">
      <w:pPr>
        <w:adjustRightInd w:val="0"/>
        <w:snapToGrid w:val="0"/>
        <w:ind w:firstLine="5280" w:firstLineChars="1650"/>
        <w:rPr>
          <w:rFonts w:ascii="仿宋_GB2312" w:hAnsi="宋体" w:eastAsia="仿宋_GB2312"/>
          <w:sz w:val="32"/>
          <w:szCs w:val="32"/>
        </w:rPr>
      </w:pPr>
      <w:r>
        <w:rPr>
          <w:rFonts w:hint="eastAsia" w:ascii="仿宋_GB2312" w:hAnsi="宋体" w:eastAsia="仿宋_GB2312"/>
          <w:sz w:val="32"/>
          <w:szCs w:val="32"/>
        </w:rPr>
        <w:t>XX年XX月XX日</w:t>
      </w:r>
    </w:p>
    <w:p w14:paraId="0C61875F">
      <w:pPr>
        <w:pStyle w:val="26"/>
        <w:jc w:val="right"/>
        <w:rPr>
          <w:rFonts w:ascii="宋体" w:hAnsi="宋体" w:eastAsia="宋体" w:cs="宋体"/>
          <w:color w:val="auto"/>
          <w:sz w:val="32"/>
          <w:szCs w:val="32"/>
        </w:rPr>
      </w:pPr>
    </w:p>
    <w:p w14:paraId="2E165B27">
      <w:pPr>
        <w:ind w:firstLine="0" w:firstLineChars="0"/>
        <w:jc w:val="center"/>
        <w:rPr>
          <w:rFonts w:ascii="宋体" w:hAnsi="宋体"/>
          <w:b/>
          <w:bCs/>
          <w:kern w:val="0"/>
          <w:sz w:val="32"/>
          <w:szCs w:val="32"/>
        </w:rPr>
      </w:pPr>
    </w:p>
    <w:p w14:paraId="480E233A">
      <w:pPr>
        <w:ind w:firstLine="0" w:firstLineChars="0"/>
        <w:jc w:val="center"/>
        <w:rPr>
          <w:rFonts w:hint="eastAsia" w:ascii="方正大标宋简体" w:hAnsi="宋体" w:eastAsia="方正大标宋简体"/>
          <w:bCs/>
          <w:kern w:val="0"/>
          <w:sz w:val="44"/>
          <w:szCs w:val="44"/>
        </w:rPr>
      </w:pPr>
      <w:r>
        <w:rPr>
          <w:rFonts w:hint="eastAsia" w:ascii="方正大标宋简体" w:hAnsi="宋体" w:eastAsia="方正大标宋简体"/>
          <w:bCs/>
          <w:kern w:val="0"/>
          <w:sz w:val="44"/>
          <w:szCs w:val="44"/>
        </w:rPr>
        <w:t>关于启动Ⅳ级应急响应的决定</w:t>
      </w:r>
    </w:p>
    <w:p w14:paraId="15FBEBD9">
      <w:pPr>
        <w:pStyle w:val="2"/>
        <w:ind w:firstLine="420"/>
      </w:pPr>
    </w:p>
    <w:p w14:paraId="5421DA6F">
      <w:pPr>
        <w:ind w:firstLine="0" w:firstLineChars="0"/>
        <w:rPr>
          <w:rFonts w:ascii="仿宋_GB2312" w:hAnsi="宋体" w:eastAsia="仿宋_GB2312"/>
          <w:sz w:val="32"/>
          <w:szCs w:val="32"/>
        </w:rPr>
      </w:pPr>
      <w:r>
        <w:rPr>
          <w:rFonts w:hint="eastAsia" w:ascii="仿宋_GB2312" w:hAnsi="宋体" w:eastAsia="仿宋_GB2312"/>
          <w:sz w:val="32"/>
          <w:szCs w:val="32"/>
        </w:rPr>
        <w:t>旗防汛抗旱指挥部各成员单位：</w:t>
      </w:r>
    </w:p>
    <w:p w14:paraId="550F4775">
      <w:pPr>
        <w:ind w:firstLine="640"/>
        <w:rPr>
          <w:rFonts w:ascii="仿宋_GB2312" w:hAnsi="宋体" w:eastAsia="仿宋_GB2312"/>
          <w:sz w:val="32"/>
          <w:szCs w:val="32"/>
        </w:rPr>
      </w:pPr>
      <w:r>
        <w:rPr>
          <w:rFonts w:hint="eastAsia" w:ascii="仿宋_GB2312" w:hAnsi="宋体" w:eastAsia="仿宋_GB2312"/>
          <w:sz w:val="32"/>
          <w:szCs w:val="32"/>
        </w:rPr>
        <w:t>据预报，7月18日至19日，旗局地将有大到暴雨，气象等部门发布了降雨，洪水、地质灾害、城市内涝黄色预警。根据《克什克腾旗防汛抗旱应急预案》有关规定，经会商研判，决定自7月17日12时起启动Ⅳ级应急响应。</w:t>
      </w:r>
    </w:p>
    <w:p w14:paraId="5EF0DB63">
      <w:pPr>
        <w:pStyle w:val="26"/>
        <w:jc w:val="right"/>
        <w:rPr>
          <w:rFonts w:hAnsi="宋体" w:cs="宋体"/>
          <w:color w:val="auto"/>
          <w:kern w:val="2"/>
          <w:sz w:val="32"/>
          <w:szCs w:val="32"/>
        </w:rPr>
      </w:pPr>
      <w:r>
        <w:rPr>
          <w:rFonts w:hint="eastAsia" w:hAnsi="宋体" w:cs="宋体"/>
          <w:color w:val="auto"/>
          <w:kern w:val="2"/>
          <w:sz w:val="32"/>
          <w:szCs w:val="32"/>
        </w:rPr>
        <w:t>旗防汛抗旱指挥部</w:t>
      </w:r>
    </w:p>
    <w:p w14:paraId="44DBC3F1">
      <w:pPr>
        <w:pStyle w:val="26"/>
        <w:ind w:right="210" w:rightChars="100"/>
        <w:jc w:val="right"/>
        <w:rPr>
          <w:rFonts w:hAnsi="宋体" w:cs="宋体"/>
          <w:color w:val="auto"/>
          <w:kern w:val="2"/>
          <w:sz w:val="32"/>
          <w:szCs w:val="32"/>
        </w:rPr>
      </w:pPr>
      <w:r>
        <w:rPr>
          <w:rFonts w:hint="eastAsia" w:hAnsi="宋体" w:cs="宋体"/>
          <w:color w:val="auto"/>
          <w:kern w:val="2"/>
          <w:sz w:val="32"/>
          <w:szCs w:val="32"/>
        </w:rPr>
        <w:t>XX年XX月XX日</w:t>
      </w:r>
    </w:p>
    <w:p w14:paraId="4EF725E1">
      <w:pPr>
        <w:ind w:firstLine="0" w:firstLineChars="0"/>
        <w:jc w:val="center"/>
        <w:rPr>
          <w:rFonts w:hint="eastAsia" w:ascii="方正大标宋简体" w:hAnsi="宋体" w:eastAsia="方正大标宋简体"/>
          <w:bCs/>
          <w:kern w:val="0"/>
          <w:sz w:val="44"/>
          <w:szCs w:val="44"/>
        </w:rPr>
      </w:pPr>
      <w:r>
        <w:rPr>
          <w:rFonts w:hint="eastAsia" w:ascii="方正大标宋简体" w:hAnsi="宋体" w:eastAsia="方正大标宋简体"/>
          <w:bCs/>
          <w:kern w:val="0"/>
          <w:sz w:val="44"/>
          <w:szCs w:val="44"/>
        </w:rPr>
        <w:t>关于调整Ⅲ级应急响应</w:t>
      </w:r>
      <w:r>
        <w:rPr>
          <w:rFonts w:hint="eastAsia" w:ascii="方正大标宋简体" w:hAnsi="宋体" w:eastAsia="方正大标宋简体"/>
          <w:bCs/>
          <w:kern w:val="0"/>
          <w:sz w:val="44"/>
          <w:szCs w:val="44"/>
          <w:lang w:val="en-US" w:eastAsia="zh-CN"/>
        </w:rPr>
        <w:t>降</w:t>
      </w:r>
      <w:r>
        <w:rPr>
          <w:rFonts w:hint="eastAsia" w:ascii="方正大标宋简体" w:hAnsi="宋体" w:eastAsia="方正大标宋简体"/>
          <w:bCs/>
          <w:kern w:val="0"/>
          <w:sz w:val="44"/>
          <w:szCs w:val="44"/>
        </w:rPr>
        <w:t>至Ⅳ级的决定</w:t>
      </w:r>
    </w:p>
    <w:p w14:paraId="2DFCE84C">
      <w:pPr>
        <w:pStyle w:val="2"/>
        <w:ind w:firstLine="420"/>
      </w:pPr>
    </w:p>
    <w:p w14:paraId="06F37B4D">
      <w:pPr>
        <w:ind w:left="0" w:leftChars="0" w:firstLine="0" w:firstLineChars="0"/>
        <w:rPr>
          <w:rFonts w:ascii="仿宋_GB2312" w:hAnsi="宋体" w:eastAsia="仿宋_GB2312"/>
          <w:sz w:val="32"/>
          <w:szCs w:val="32"/>
        </w:rPr>
      </w:pPr>
      <w:r>
        <w:rPr>
          <w:rFonts w:hint="eastAsia" w:ascii="仿宋_GB2312" w:hAnsi="宋体" w:eastAsia="仿宋_GB2312"/>
          <w:sz w:val="32"/>
          <w:szCs w:val="32"/>
        </w:rPr>
        <w:t>旗防汛抗旱指挥部各成员单位：</w:t>
      </w:r>
    </w:p>
    <w:p w14:paraId="1DAB9EE5">
      <w:pPr>
        <w:ind w:firstLine="640"/>
        <w:rPr>
          <w:rFonts w:hint="eastAsia" w:ascii="仿宋_GB2312" w:hAnsi="宋体" w:eastAsia="仿宋_GB2312"/>
          <w:sz w:val="32"/>
          <w:szCs w:val="32"/>
        </w:rPr>
      </w:pPr>
      <w:r>
        <w:rPr>
          <w:rFonts w:hint="eastAsia" w:ascii="仿宋_GB2312" w:hAnsi="宋体" w:eastAsia="仿宋_GB2312"/>
          <w:sz w:val="32"/>
          <w:szCs w:val="32"/>
        </w:rPr>
        <w:t>目前，克旗地区强降雨过程已基本结束，河道水位逐渐回落，防汛形势趋缓。据预报，未来24小时降水减弱。根据《克什克腾旗防汛抗旱应急预案》有关规定，经会商研判，决定自7月20日12时起将Ⅲ级应急响应</w:t>
      </w:r>
      <w:r>
        <w:rPr>
          <w:rFonts w:hint="eastAsia" w:ascii="仿宋_GB2312" w:hAnsi="宋体" w:eastAsia="仿宋_GB2312"/>
          <w:sz w:val="32"/>
          <w:szCs w:val="32"/>
          <w:lang w:val="en-US" w:eastAsia="zh-CN"/>
        </w:rPr>
        <w:t>降</w:t>
      </w:r>
      <w:r>
        <w:rPr>
          <w:rFonts w:hint="eastAsia" w:ascii="仿宋_GB2312" w:hAnsi="宋体" w:eastAsia="仿宋_GB2312"/>
          <w:sz w:val="32"/>
          <w:szCs w:val="32"/>
        </w:rPr>
        <w:t>至Ⅳ级。</w:t>
      </w:r>
    </w:p>
    <w:p w14:paraId="555D9729">
      <w:pPr>
        <w:pStyle w:val="2"/>
        <w:ind w:firstLine="420"/>
      </w:pPr>
    </w:p>
    <w:p w14:paraId="44CAACBF">
      <w:pPr>
        <w:ind w:firstLine="6080" w:firstLineChars="1900"/>
        <w:rPr>
          <w:rFonts w:ascii="仿宋_GB2312" w:hAnsi="宋体" w:eastAsia="仿宋_GB2312"/>
          <w:sz w:val="32"/>
          <w:szCs w:val="32"/>
        </w:rPr>
      </w:pPr>
      <w:r>
        <w:rPr>
          <w:rFonts w:hint="eastAsia" w:ascii="仿宋_GB2312" w:hAnsi="宋体" w:eastAsia="仿宋_GB2312"/>
          <w:sz w:val="32"/>
          <w:szCs w:val="32"/>
        </w:rPr>
        <w:t>旗防汛抗旱指挥部</w:t>
      </w:r>
    </w:p>
    <w:p w14:paraId="21C47FD6">
      <w:pPr>
        <w:ind w:firstLine="6400" w:firstLineChars="2000"/>
        <w:rPr>
          <w:rFonts w:ascii="仿宋_GB2312" w:hAnsi="宋体" w:eastAsia="仿宋_GB2312"/>
          <w:sz w:val="32"/>
          <w:szCs w:val="32"/>
        </w:rPr>
      </w:pPr>
      <w:r>
        <w:rPr>
          <w:rFonts w:hint="eastAsia" w:ascii="仿宋_GB2312" w:hAnsi="宋体" w:eastAsia="仿宋_GB2312"/>
          <w:sz w:val="32"/>
          <w:szCs w:val="32"/>
        </w:rPr>
        <w:t>XX年XX月XX日</w:t>
      </w:r>
    </w:p>
    <w:p w14:paraId="74B7D509">
      <w:pPr>
        <w:ind w:firstLine="0" w:firstLineChars="0"/>
        <w:jc w:val="center"/>
        <w:rPr>
          <w:rFonts w:ascii="宋体" w:hAnsi="宋体"/>
          <w:b/>
          <w:bCs/>
          <w:kern w:val="0"/>
          <w:sz w:val="32"/>
          <w:szCs w:val="32"/>
        </w:rPr>
      </w:pPr>
    </w:p>
    <w:p w14:paraId="1BC9910D">
      <w:pPr>
        <w:ind w:firstLine="880"/>
        <w:jc w:val="center"/>
        <w:rPr>
          <w:rFonts w:hint="eastAsia" w:ascii="方正大标宋简体" w:hAnsi="宋体" w:eastAsia="方正大标宋简体"/>
          <w:bCs/>
          <w:kern w:val="0"/>
          <w:sz w:val="44"/>
          <w:szCs w:val="44"/>
        </w:rPr>
      </w:pPr>
    </w:p>
    <w:p w14:paraId="47CCC349">
      <w:pPr>
        <w:ind w:firstLine="0" w:firstLineChars="0"/>
        <w:jc w:val="center"/>
        <w:rPr>
          <w:rFonts w:hint="eastAsia" w:ascii="方正大标宋简体" w:hAnsi="宋体" w:eastAsia="方正大标宋简体"/>
          <w:bCs/>
          <w:kern w:val="0"/>
          <w:sz w:val="44"/>
          <w:szCs w:val="44"/>
        </w:rPr>
      </w:pPr>
      <w:r>
        <w:rPr>
          <w:rFonts w:hint="eastAsia" w:ascii="方正大标宋简体" w:hAnsi="宋体" w:eastAsia="方正大标宋简体"/>
          <w:bCs/>
          <w:kern w:val="0"/>
          <w:sz w:val="44"/>
          <w:szCs w:val="44"/>
        </w:rPr>
        <w:t>关于结束Ⅳ级应急响应的决定</w:t>
      </w:r>
    </w:p>
    <w:p w14:paraId="43E65DF1">
      <w:pPr>
        <w:pStyle w:val="2"/>
        <w:ind w:firstLine="420"/>
      </w:pPr>
    </w:p>
    <w:p w14:paraId="63A50431">
      <w:pPr>
        <w:ind w:firstLine="0" w:firstLineChars="0"/>
        <w:rPr>
          <w:rFonts w:ascii="仿宋_GB2312" w:hAnsi="宋体" w:eastAsia="仿宋_GB2312"/>
          <w:sz w:val="32"/>
          <w:szCs w:val="32"/>
        </w:rPr>
      </w:pPr>
      <w:r>
        <w:rPr>
          <w:rFonts w:hint="eastAsia" w:ascii="仿宋_GB2312" w:hAnsi="宋体" w:eastAsia="仿宋_GB2312"/>
          <w:sz w:val="32"/>
          <w:szCs w:val="32"/>
        </w:rPr>
        <w:t>旗防汛抗旱指挥部各成员单位：</w:t>
      </w:r>
    </w:p>
    <w:p w14:paraId="10126FCE">
      <w:pPr>
        <w:ind w:firstLine="640"/>
        <w:rPr>
          <w:rFonts w:hint="eastAsia" w:ascii="仿宋_GB2312" w:hAnsi="宋体" w:eastAsia="仿宋_GB2312"/>
          <w:sz w:val="32"/>
          <w:szCs w:val="32"/>
        </w:rPr>
      </w:pPr>
      <w:r>
        <w:rPr>
          <w:rFonts w:hint="eastAsia" w:ascii="仿宋_GB2312" w:hAnsi="宋体" w:eastAsia="仿宋_GB2312"/>
          <w:sz w:val="32"/>
          <w:szCs w:val="32"/>
        </w:rPr>
        <w:t>目前本次局地强降雨过程已基本结束，根据《克什克腾旗防汛抗旱应急预案》有关规定，经会商研判，决定于7月21日12时结束Ⅳ级应急响应。</w:t>
      </w:r>
    </w:p>
    <w:p w14:paraId="0E996FAB">
      <w:pPr>
        <w:pStyle w:val="2"/>
        <w:ind w:firstLine="420"/>
      </w:pPr>
    </w:p>
    <w:p w14:paraId="0224B6D1">
      <w:pPr>
        <w:ind w:firstLine="5760" w:firstLineChars="1800"/>
        <w:rPr>
          <w:rFonts w:ascii="仿宋_GB2312" w:hAnsi="宋体" w:eastAsia="仿宋_GB2312"/>
          <w:sz w:val="32"/>
          <w:szCs w:val="32"/>
        </w:rPr>
      </w:pPr>
      <w:r>
        <w:rPr>
          <w:rFonts w:hint="eastAsia" w:ascii="仿宋_GB2312" w:hAnsi="宋体" w:eastAsia="仿宋_GB2312"/>
          <w:sz w:val="32"/>
          <w:szCs w:val="32"/>
        </w:rPr>
        <w:t>旗防汛抗旱指挥部</w:t>
      </w:r>
    </w:p>
    <w:p w14:paraId="47964535">
      <w:pPr>
        <w:ind w:firstLine="6080" w:firstLineChars="1900"/>
        <w:rPr>
          <w:rFonts w:ascii="仿宋_GB2312" w:hAnsi="宋体" w:eastAsia="仿宋_GB2312"/>
          <w:sz w:val="32"/>
          <w:szCs w:val="32"/>
        </w:rPr>
      </w:pPr>
      <w:r>
        <w:rPr>
          <w:rFonts w:hint="eastAsia" w:ascii="仿宋_GB2312" w:hAnsi="宋体" w:eastAsia="仿宋_GB2312"/>
          <w:sz w:val="32"/>
          <w:szCs w:val="32"/>
        </w:rPr>
        <w:t>XX年XX月XX日</w:t>
      </w:r>
    </w:p>
    <w:p w14:paraId="625D8E0E">
      <w:pPr>
        <w:ind w:firstLine="640"/>
        <w:rPr>
          <w:rFonts w:ascii="仿宋_GB2312" w:hAnsi="宋体" w:eastAsia="仿宋_GB2312"/>
          <w:sz w:val="32"/>
          <w:szCs w:val="32"/>
        </w:rPr>
      </w:pPr>
    </w:p>
    <w:p w14:paraId="11F6F1E6">
      <w:pPr>
        <w:adjustRightInd w:val="0"/>
        <w:snapToGrid w:val="0"/>
        <w:ind w:firstLine="640"/>
        <w:rPr>
          <w:rFonts w:ascii="宋体" w:hAnsi="宋体"/>
          <w:color w:val="000000"/>
          <w:kern w:val="0"/>
          <w:sz w:val="32"/>
          <w:szCs w:val="32"/>
        </w:rPr>
      </w:pPr>
      <w:r>
        <w:rPr>
          <w:rFonts w:hint="eastAsia" w:ascii="宋体" w:hAnsi="宋体"/>
          <w:color w:val="000000"/>
          <w:kern w:val="0"/>
          <w:sz w:val="32"/>
          <w:szCs w:val="32"/>
        </w:rPr>
        <w:br w:type="page"/>
      </w:r>
    </w:p>
    <w:p w14:paraId="002FC97C">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50" w:name="_Toc8608"/>
      <w:r>
        <w:rPr>
          <w:rFonts w:hint="eastAsia" w:ascii="仿宋_GB2312" w:hAnsi="仿宋_GB2312" w:eastAsia="仿宋_GB2312" w:cs="仿宋_GB2312"/>
          <w:b w:val="0"/>
          <w:bCs/>
          <w:sz w:val="32"/>
          <w:szCs w:val="32"/>
        </w:rPr>
        <w:t>附件9：旗防汛抗旱会商会议主要议程</w:t>
      </w:r>
      <w:bookmarkEnd w:id="650"/>
    </w:p>
    <w:p w14:paraId="1DC03910">
      <w:pPr>
        <w:adjustRightInd w:val="0"/>
        <w:snapToGrid w:val="0"/>
        <w:ind w:firstLine="0" w:firstLineChars="0"/>
        <w:jc w:val="center"/>
        <w:rPr>
          <w:rFonts w:ascii="黑体" w:hAnsi="黑体" w:eastAsia="黑体" w:cs="黑体"/>
          <w:kern w:val="0"/>
          <w:sz w:val="32"/>
          <w:szCs w:val="32"/>
        </w:rPr>
      </w:pPr>
    </w:p>
    <w:p w14:paraId="194F1F70">
      <w:pPr>
        <w:adjustRightInd w:val="0"/>
        <w:snapToGrid w:val="0"/>
        <w:ind w:firstLine="0" w:firstLineChars="0"/>
        <w:jc w:val="center"/>
        <w:rPr>
          <w:rFonts w:ascii="方正大标宋简体" w:hAnsi="宋体" w:eastAsia="方正大标宋简体"/>
          <w:bCs/>
          <w:kern w:val="0"/>
          <w:sz w:val="44"/>
          <w:szCs w:val="44"/>
        </w:rPr>
      </w:pPr>
      <w:r>
        <w:rPr>
          <w:rFonts w:hint="eastAsia" w:ascii="方正大标宋简体" w:hAnsi="宋体" w:eastAsia="方正大标宋简体"/>
          <w:bCs/>
          <w:kern w:val="0"/>
          <w:sz w:val="44"/>
          <w:szCs w:val="44"/>
        </w:rPr>
        <w:t>防汛抗旱会商会议主要议程</w:t>
      </w:r>
    </w:p>
    <w:p w14:paraId="3362F04B">
      <w:pPr>
        <w:adjustRightInd w:val="0"/>
        <w:snapToGrid w:val="0"/>
        <w:ind w:firstLine="0" w:firstLineChars="0"/>
        <w:rPr>
          <w:rFonts w:ascii="宋体" w:hAnsi="宋体"/>
          <w:sz w:val="32"/>
          <w:szCs w:val="32"/>
        </w:rPr>
      </w:pPr>
    </w:p>
    <w:p w14:paraId="6CFE451B">
      <w:pPr>
        <w:ind w:firstLine="640"/>
        <w:rPr>
          <w:rFonts w:ascii="黑体" w:hAnsi="黑体" w:eastAsia="黑体"/>
          <w:sz w:val="32"/>
          <w:szCs w:val="32"/>
        </w:rPr>
      </w:pPr>
      <w:r>
        <w:rPr>
          <w:rFonts w:hint="eastAsia" w:ascii="黑体" w:hAnsi="黑体" w:eastAsia="黑体"/>
          <w:sz w:val="32"/>
          <w:szCs w:val="32"/>
        </w:rPr>
        <w:t>一、气象局介绍气象监测预报情况</w:t>
      </w:r>
    </w:p>
    <w:p w14:paraId="53E2B395">
      <w:pPr>
        <w:ind w:firstLine="640"/>
        <w:rPr>
          <w:rFonts w:ascii="仿宋_GB2312" w:hAnsi="宋体" w:eastAsia="仿宋_GB2312"/>
          <w:sz w:val="32"/>
          <w:szCs w:val="32"/>
        </w:rPr>
      </w:pPr>
      <w:r>
        <w:rPr>
          <w:rFonts w:hint="eastAsia" w:ascii="仿宋_GB2312" w:hAnsi="宋体" w:eastAsia="仿宋_GB2312"/>
          <w:sz w:val="32"/>
          <w:szCs w:val="32"/>
        </w:rPr>
        <w:t>1.气象情况。短期、中长期天气预报变化及未来趋势。</w:t>
      </w:r>
    </w:p>
    <w:p w14:paraId="639F4A32">
      <w:pPr>
        <w:ind w:firstLine="640"/>
        <w:rPr>
          <w:rFonts w:ascii="仿宋_GB2312" w:hAnsi="宋体" w:eastAsia="仿宋_GB2312"/>
          <w:sz w:val="32"/>
          <w:szCs w:val="32"/>
        </w:rPr>
      </w:pPr>
      <w:r>
        <w:rPr>
          <w:rFonts w:hint="eastAsia" w:ascii="仿宋_GB2312" w:hAnsi="宋体" w:eastAsia="仿宋_GB2312"/>
          <w:sz w:val="32"/>
          <w:szCs w:val="32"/>
        </w:rPr>
        <w:t>2.雨情。降雨过程、时空分布、雨量级别、暴雨中心、主要水库和超限水库以上面均雨量，最大点雨量等。</w:t>
      </w:r>
    </w:p>
    <w:p w14:paraId="155C5892">
      <w:pPr>
        <w:ind w:firstLine="640"/>
        <w:rPr>
          <w:rFonts w:ascii="黑体" w:hAnsi="黑体" w:eastAsia="黑体"/>
          <w:sz w:val="32"/>
          <w:szCs w:val="32"/>
        </w:rPr>
      </w:pPr>
      <w:r>
        <w:rPr>
          <w:rFonts w:hint="eastAsia" w:ascii="黑体" w:hAnsi="黑体" w:eastAsia="黑体"/>
          <w:sz w:val="32"/>
          <w:szCs w:val="32"/>
        </w:rPr>
        <w:t>二、水利局介绍水情工情</w:t>
      </w:r>
    </w:p>
    <w:p w14:paraId="0703EF51">
      <w:pPr>
        <w:ind w:firstLine="640"/>
        <w:rPr>
          <w:rFonts w:ascii="仿宋_GB2312" w:hAnsi="宋体" w:eastAsia="仿宋_GB2312"/>
          <w:sz w:val="32"/>
          <w:szCs w:val="32"/>
        </w:rPr>
      </w:pPr>
      <w:r>
        <w:rPr>
          <w:rFonts w:hint="eastAsia" w:ascii="仿宋_GB2312" w:hAnsi="宋体" w:eastAsia="仿宋_GB2312"/>
          <w:sz w:val="32"/>
          <w:szCs w:val="32"/>
        </w:rPr>
        <w:t>1.水情:受降雨影响流量较大、水位或流量变幅较大的主要河流、河段水位流量情况，湖库、水闸、堤防等控制断面水位流量变化趋势。</w:t>
      </w:r>
    </w:p>
    <w:p w14:paraId="43B22577">
      <w:pPr>
        <w:ind w:firstLine="640"/>
        <w:rPr>
          <w:rFonts w:ascii="仿宋_GB2312" w:hAnsi="宋体" w:eastAsia="仿宋_GB2312"/>
          <w:sz w:val="32"/>
          <w:szCs w:val="32"/>
        </w:rPr>
      </w:pPr>
      <w:r>
        <w:rPr>
          <w:rFonts w:hint="eastAsia" w:ascii="仿宋_GB2312" w:hAnsi="宋体" w:eastAsia="仿宋_GB2312"/>
          <w:sz w:val="32"/>
          <w:szCs w:val="32"/>
        </w:rPr>
        <w:t>2.</w:t>
      </w:r>
      <w:r>
        <w:rPr>
          <w:rFonts w:ascii="仿宋_GB2312" w:hAnsi="宋体" w:eastAsia="仿宋_GB2312"/>
          <w:sz w:val="32"/>
          <w:szCs w:val="32"/>
        </w:rPr>
        <w:t>工情情况</w:t>
      </w:r>
      <w:r>
        <w:rPr>
          <w:rFonts w:hint="eastAsia" w:ascii="仿宋_GB2312" w:hAnsi="宋体" w:eastAsia="仿宋_GB2312"/>
          <w:sz w:val="32"/>
          <w:szCs w:val="32"/>
        </w:rPr>
        <w:t>:</w:t>
      </w:r>
      <w:r>
        <w:rPr>
          <w:rFonts w:ascii="仿宋_GB2312" w:hAnsi="宋体" w:eastAsia="仿宋_GB2312"/>
          <w:sz w:val="32"/>
          <w:szCs w:val="32"/>
        </w:rPr>
        <w:t>水利工程运用及</w:t>
      </w:r>
      <w:r>
        <w:rPr>
          <w:rFonts w:hint="eastAsia" w:ascii="仿宋_GB2312" w:hAnsi="宋体" w:eastAsia="仿宋_GB2312"/>
          <w:sz w:val="32"/>
          <w:szCs w:val="32"/>
        </w:rPr>
        <w:t>隐患排查</w:t>
      </w:r>
      <w:r>
        <w:rPr>
          <w:rFonts w:ascii="仿宋_GB2312" w:hAnsi="宋体" w:eastAsia="仿宋_GB2312"/>
          <w:sz w:val="32"/>
          <w:szCs w:val="32"/>
        </w:rPr>
        <w:t>情况</w:t>
      </w:r>
      <w:r>
        <w:rPr>
          <w:rFonts w:hint="eastAsia" w:ascii="仿宋_GB2312" w:hAnsi="宋体" w:eastAsia="仿宋_GB2312"/>
          <w:sz w:val="32"/>
          <w:szCs w:val="32"/>
        </w:rPr>
        <w:t>。</w:t>
      </w:r>
    </w:p>
    <w:p w14:paraId="0E5EA00E">
      <w:pPr>
        <w:ind w:firstLine="640"/>
        <w:rPr>
          <w:rFonts w:ascii="仿宋_GB2312" w:hAnsi="宋体" w:eastAsia="仿宋_GB2312"/>
          <w:sz w:val="32"/>
          <w:szCs w:val="32"/>
        </w:rPr>
      </w:pPr>
      <w:r>
        <w:rPr>
          <w:rFonts w:hint="eastAsia" w:ascii="仿宋_GB2312" w:hAnsi="宋体" w:eastAsia="仿宋_GB2312"/>
          <w:sz w:val="32"/>
          <w:szCs w:val="32"/>
        </w:rPr>
        <w:t>3.</w:t>
      </w:r>
      <w:r>
        <w:rPr>
          <w:rFonts w:ascii="仿宋_GB2312" w:hAnsi="宋体" w:eastAsia="仿宋_GB2312"/>
          <w:sz w:val="32"/>
          <w:szCs w:val="32"/>
        </w:rPr>
        <w:t>灾情情况</w:t>
      </w:r>
      <w:r>
        <w:rPr>
          <w:rFonts w:hint="eastAsia" w:ascii="仿宋_GB2312" w:hAnsi="宋体" w:eastAsia="仿宋_GB2312"/>
          <w:sz w:val="32"/>
          <w:szCs w:val="32"/>
        </w:rPr>
        <w:t>:主要河流</w:t>
      </w:r>
      <w:r>
        <w:rPr>
          <w:rFonts w:ascii="仿宋_GB2312" w:hAnsi="宋体" w:eastAsia="仿宋_GB2312"/>
          <w:sz w:val="32"/>
          <w:szCs w:val="32"/>
        </w:rPr>
        <w:t>当前发生的灾情及采取的措施。</w:t>
      </w:r>
    </w:p>
    <w:p w14:paraId="6C54D403">
      <w:pPr>
        <w:ind w:firstLine="640"/>
        <w:rPr>
          <w:rFonts w:ascii="仿宋_GB2312" w:hAnsi="宋体" w:eastAsia="仿宋_GB2312"/>
          <w:sz w:val="32"/>
          <w:szCs w:val="32"/>
        </w:rPr>
      </w:pPr>
      <w:r>
        <w:rPr>
          <w:rFonts w:hint="eastAsia" w:ascii="仿宋_GB2312" w:hAnsi="宋体" w:eastAsia="仿宋_GB2312"/>
          <w:sz w:val="32"/>
          <w:szCs w:val="32"/>
        </w:rPr>
        <w:t>4.</w:t>
      </w:r>
      <w:r>
        <w:rPr>
          <w:rFonts w:ascii="仿宋_GB2312" w:hAnsi="宋体" w:eastAsia="仿宋_GB2312"/>
          <w:sz w:val="32"/>
          <w:szCs w:val="32"/>
        </w:rPr>
        <w:t>工程调度情况</w:t>
      </w:r>
      <w:r>
        <w:rPr>
          <w:rFonts w:hint="eastAsia" w:ascii="仿宋_GB2312" w:hAnsi="宋体" w:eastAsia="仿宋_GB2312"/>
          <w:sz w:val="32"/>
          <w:szCs w:val="32"/>
        </w:rPr>
        <w:t>:</w:t>
      </w:r>
      <w:r>
        <w:rPr>
          <w:rFonts w:ascii="仿宋_GB2312" w:hAnsi="宋体" w:eastAsia="仿宋_GB2312"/>
          <w:sz w:val="32"/>
          <w:szCs w:val="32"/>
        </w:rPr>
        <w:t>水利工程调度</w:t>
      </w:r>
      <w:r>
        <w:rPr>
          <w:rFonts w:hint="eastAsia" w:ascii="仿宋_GB2312" w:hAnsi="宋体" w:eastAsia="仿宋_GB2312"/>
          <w:sz w:val="32"/>
          <w:szCs w:val="32"/>
        </w:rPr>
        <w:t>运行</w:t>
      </w:r>
      <w:r>
        <w:rPr>
          <w:rFonts w:ascii="仿宋_GB2312" w:hAnsi="宋体" w:eastAsia="仿宋_GB2312"/>
          <w:sz w:val="32"/>
          <w:szCs w:val="32"/>
        </w:rPr>
        <w:t>情况</w:t>
      </w:r>
      <w:r>
        <w:rPr>
          <w:rFonts w:hint="eastAsia" w:ascii="仿宋_GB2312" w:hAnsi="宋体" w:eastAsia="仿宋_GB2312"/>
          <w:sz w:val="32"/>
          <w:szCs w:val="32"/>
        </w:rPr>
        <w:t>。</w:t>
      </w:r>
    </w:p>
    <w:p w14:paraId="20AD011B">
      <w:pPr>
        <w:ind w:firstLine="640"/>
        <w:rPr>
          <w:rFonts w:ascii="黑体" w:hAnsi="黑体" w:eastAsia="黑体"/>
          <w:sz w:val="32"/>
          <w:szCs w:val="32"/>
        </w:rPr>
      </w:pPr>
      <w:r>
        <w:rPr>
          <w:rFonts w:hint="eastAsia" w:ascii="黑体" w:hAnsi="黑体" w:eastAsia="黑体"/>
          <w:sz w:val="32"/>
          <w:szCs w:val="32"/>
        </w:rPr>
        <w:t>三、驻旗水文站介绍水位监测情况</w:t>
      </w:r>
    </w:p>
    <w:p w14:paraId="2F5B56F7">
      <w:pPr>
        <w:ind w:firstLine="640"/>
        <w:rPr>
          <w:rFonts w:ascii="仿宋_GB2312" w:hAnsi="宋体" w:eastAsia="仿宋_GB2312"/>
          <w:sz w:val="32"/>
          <w:szCs w:val="32"/>
        </w:rPr>
      </w:pPr>
      <w:r>
        <w:rPr>
          <w:rFonts w:hint="eastAsia" w:ascii="仿宋_GB2312" w:hAnsi="宋体" w:eastAsia="仿宋_GB2312"/>
          <w:sz w:val="32"/>
          <w:szCs w:val="32"/>
        </w:rPr>
        <w:t>主要河流、湖泊、水库水位控制站实测数据和趋势</w:t>
      </w:r>
    </w:p>
    <w:p w14:paraId="3706019D">
      <w:pPr>
        <w:ind w:firstLine="640"/>
        <w:rPr>
          <w:rFonts w:ascii="黑体" w:hAnsi="黑体" w:eastAsia="黑体"/>
          <w:sz w:val="32"/>
          <w:szCs w:val="32"/>
        </w:rPr>
      </w:pPr>
      <w:r>
        <w:rPr>
          <w:rFonts w:hint="eastAsia" w:ascii="黑体" w:hAnsi="黑体" w:eastAsia="黑体"/>
          <w:sz w:val="32"/>
          <w:szCs w:val="32"/>
        </w:rPr>
        <w:t>四、</w:t>
      </w:r>
      <w:r>
        <w:rPr>
          <w:rFonts w:ascii="黑体" w:hAnsi="黑体" w:eastAsia="黑体"/>
          <w:sz w:val="32"/>
          <w:szCs w:val="32"/>
        </w:rPr>
        <w:t>自然资源局</w:t>
      </w:r>
      <w:r>
        <w:rPr>
          <w:rFonts w:hint="eastAsia" w:ascii="黑体" w:hAnsi="黑体" w:eastAsia="黑体"/>
          <w:sz w:val="32"/>
          <w:szCs w:val="32"/>
        </w:rPr>
        <w:t>介绍地质灾害监测预报情况</w:t>
      </w:r>
    </w:p>
    <w:p w14:paraId="3805452B">
      <w:pPr>
        <w:ind w:firstLine="640"/>
        <w:rPr>
          <w:rFonts w:ascii="仿宋_GB2312" w:hAnsi="宋体" w:eastAsia="仿宋_GB2312"/>
          <w:sz w:val="32"/>
          <w:szCs w:val="32"/>
        </w:rPr>
      </w:pPr>
      <w:r>
        <w:rPr>
          <w:rFonts w:hint="eastAsia" w:ascii="仿宋_GB2312" w:hAnsi="宋体" w:eastAsia="仿宋_GB2312"/>
          <w:sz w:val="32"/>
          <w:szCs w:val="32"/>
        </w:rPr>
        <w:t>1.</w:t>
      </w:r>
      <w:r>
        <w:rPr>
          <w:rFonts w:ascii="仿宋_GB2312" w:hAnsi="宋体" w:eastAsia="仿宋_GB2312"/>
          <w:sz w:val="32"/>
          <w:szCs w:val="32"/>
        </w:rPr>
        <w:t>地质灾害隐患点，高风险区</w:t>
      </w:r>
      <w:r>
        <w:rPr>
          <w:rFonts w:hint="eastAsia" w:ascii="仿宋_GB2312" w:hAnsi="宋体" w:eastAsia="仿宋_GB2312"/>
          <w:sz w:val="32"/>
          <w:szCs w:val="32"/>
        </w:rPr>
        <w:t>监测预报</w:t>
      </w:r>
      <w:r>
        <w:rPr>
          <w:rFonts w:ascii="仿宋_GB2312" w:hAnsi="宋体" w:eastAsia="仿宋_GB2312"/>
          <w:sz w:val="32"/>
          <w:szCs w:val="32"/>
        </w:rPr>
        <w:t>。</w:t>
      </w:r>
    </w:p>
    <w:p w14:paraId="4D28CE97">
      <w:pPr>
        <w:ind w:firstLine="640"/>
        <w:rPr>
          <w:rFonts w:ascii="仿宋_GB2312" w:hAnsi="宋体" w:eastAsia="仿宋_GB2312"/>
          <w:sz w:val="32"/>
          <w:szCs w:val="32"/>
        </w:rPr>
      </w:pPr>
      <w:r>
        <w:rPr>
          <w:rFonts w:hint="eastAsia" w:ascii="仿宋_GB2312" w:hAnsi="宋体" w:eastAsia="仿宋_GB2312"/>
          <w:sz w:val="32"/>
          <w:szCs w:val="32"/>
        </w:rPr>
        <w:t>2.研判气象原因导致地质灾害发生的可能性。</w:t>
      </w:r>
    </w:p>
    <w:p w14:paraId="1F8298EC">
      <w:pPr>
        <w:ind w:firstLine="640"/>
        <w:rPr>
          <w:rFonts w:ascii="仿宋_GB2312" w:hAnsi="宋体" w:eastAsia="仿宋_GB2312"/>
          <w:sz w:val="32"/>
          <w:szCs w:val="32"/>
        </w:rPr>
      </w:pPr>
      <w:r>
        <w:rPr>
          <w:rFonts w:hint="eastAsia" w:ascii="黑体" w:hAnsi="黑体" w:eastAsia="黑体"/>
          <w:sz w:val="32"/>
          <w:szCs w:val="32"/>
        </w:rPr>
        <w:t>五、住房</w:t>
      </w:r>
      <w:r>
        <w:rPr>
          <w:rFonts w:hint="eastAsia" w:ascii="黑体" w:hAnsi="黑体" w:eastAsia="黑体"/>
          <w:sz w:val="32"/>
          <w:szCs w:val="32"/>
          <w:lang w:eastAsia="zh-CN"/>
        </w:rPr>
        <w:t>和</w:t>
      </w:r>
      <w:r>
        <w:rPr>
          <w:rFonts w:hint="eastAsia" w:ascii="黑体" w:hAnsi="黑体" w:eastAsia="黑体"/>
          <w:sz w:val="32"/>
          <w:szCs w:val="32"/>
        </w:rPr>
        <w:t>城乡建设局、</w:t>
      </w:r>
      <w:r>
        <w:rPr>
          <w:rFonts w:ascii="黑体" w:hAnsi="黑体" w:eastAsia="黑体"/>
          <w:sz w:val="32"/>
          <w:szCs w:val="32"/>
        </w:rPr>
        <w:t>城市管理综合执法局</w:t>
      </w:r>
      <w:r>
        <w:rPr>
          <w:rFonts w:hint="eastAsia" w:ascii="黑体" w:hAnsi="黑体" w:eastAsia="黑体"/>
          <w:sz w:val="32"/>
          <w:szCs w:val="32"/>
        </w:rPr>
        <w:t>汇报</w:t>
      </w:r>
    </w:p>
    <w:p w14:paraId="102D32AA">
      <w:pPr>
        <w:ind w:firstLine="640"/>
        <w:rPr>
          <w:rFonts w:ascii="仿宋_GB2312" w:hAnsi="宋体" w:eastAsia="仿宋_GB2312"/>
          <w:sz w:val="32"/>
          <w:szCs w:val="32"/>
        </w:rPr>
      </w:pPr>
      <w:r>
        <w:rPr>
          <w:rFonts w:hint="eastAsia" w:ascii="仿宋_GB2312" w:hAnsi="宋体" w:eastAsia="仿宋_GB2312"/>
          <w:sz w:val="32"/>
          <w:szCs w:val="32"/>
        </w:rPr>
        <w:t>1.</w:t>
      </w:r>
      <w:r>
        <w:rPr>
          <w:rFonts w:ascii="仿宋_GB2312" w:hAnsi="宋体" w:eastAsia="仿宋_GB2312"/>
          <w:sz w:val="32"/>
          <w:szCs w:val="32"/>
        </w:rPr>
        <w:t>城市内涝风险点</w:t>
      </w:r>
      <w:r>
        <w:rPr>
          <w:rFonts w:hint="eastAsia" w:ascii="仿宋_GB2312" w:hAnsi="宋体" w:eastAsia="仿宋_GB2312"/>
          <w:sz w:val="32"/>
          <w:szCs w:val="32"/>
        </w:rPr>
        <w:t>排查情况</w:t>
      </w:r>
      <w:r>
        <w:rPr>
          <w:rFonts w:ascii="仿宋_GB2312" w:hAnsi="宋体" w:eastAsia="仿宋_GB2312"/>
          <w:sz w:val="32"/>
          <w:szCs w:val="32"/>
        </w:rPr>
        <w:t>，城市内涝监测预报预警</w:t>
      </w:r>
      <w:r>
        <w:rPr>
          <w:rFonts w:hint="eastAsia" w:ascii="仿宋_GB2312" w:hAnsi="宋体" w:eastAsia="仿宋_GB2312"/>
          <w:sz w:val="32"/>
          <w:szCs w:val="32"/>
        </w:rPr>
        <w:t>情况</w:t>
      </w:r>
      <w:r>
        <w:rPr>
          <w:rFonts w:ascii="仿宋_GB2312" w:hAnsi="宋体" w:eastAsia="仿宋_GB2312"/>
          <w:sz w:val="32"/>
          <w:szCs w:val="32"/>
        </w:rPr>
        <w:t>。</w:t>
      </w:r>
    </w:p>
    <w:p w14:paraId="135BE10C">
      <w:pPr>
        <w:ind w:firstLine="640"/>
        <w:rPr>
          <w:rFonts w:ascii="仿宋_GB2312" w:hAnsi="宋体" w:eastAsia="仿宋_GB2312"/>
          <w:sz w:val="32"/>
          <w:szCs w:val="32"/>
        </w:rPr>
      </w:pPr>
      <w:r>
        <w:rPr>
          <w:rFonts w:hint="eastAsia" w:ascii="仿宋_GB2312" w:hAnsi="宋体" w:eastAsia="仿宋_GB2312"/>
          <w:sz w:val="32"/>
          <w:szCs w:val="32"/>
        </w:rPr>
        <w:t>2.研判中心城区发生洪涝灾害</w:t>
      </w:r>
      <w:r>
        <w:rPr>
          <w:rFonts w:hint="eastAsia" w:ascii="仿宋_GB2312" w:hAnsi="宋体" w:eastAsia="仿宋_GB2312"/>
          <w:sz w:val="32"/>
          <w:szCs w:val="32"/>
          <w:lang w:eastAsia="zh-CN"/>
        </w:rPr>
        <w:t>发生的</w:t>
      </w:r>
      <w:r>
        <w:rPr>
          <w:rFonts w:hint="eastAsia" w:ascii="仿宋_GB2312" w:hAnsi="宋体" w:eastAsia="仿宋_GB2312"/>
          <w:sz w:val="32"/>
          <w:szCs w:val="32"/>
        </w:rPr>
        <w:t>可能性。</w:t>
      </w:r>
    </w:p>
    <w:p w14:paraId="41CE3A86">
      <w:pPr>
        <w:ind w:firstLine="640"/>
        <w:rPr>
          <w:rFonts w:ascii="黑体" w:hAnsi="黑体" w:eastAsia="黑体"/>
          <w:sz w:val="32"/>
          <w:szCs w:val="32"/>
        </w:rPr>
      </w:pPr>
      <w:r>
        <w:rPr>
          <w:rFonts w:hint="eastAsia" w:ascii="黑体" w:hAnsi="黑体" w:eastAsia="黑体"/>
          <w:sz w:val="32"/>
          <w:szCs w:val="32"/>
        </w:rPr>
        <w:t>六、会商讨论</w:t>
      </w:r>
    </w:p>
    <w:p w14:paraId="6C452F71">
      <w:pPr>
        <w:ind w:firstLine="640"/>
        <w:rPr>
          <w:rFonts w:ascii="黑体" w:hAnsi="黑体" w:eastAsia="黑体"/>
          <w:sz w:val="32"/>
          <w:szCs w:val="32"/>
        </w:rPr>
      </w:pPr>
      <w:r>
        <w:rPr>
          <w:rFonts w:hint="eastAsia" w:ascii="黑体" w:hAnsi="黑体" w:eastAsia="黑体"/>
          <w:sz w:val="32"/>
          <w:szCs w:val="32"/>
        </w:rPr>
        <w:t>七、旗防办</w:t>
      </w:r>
      <w:r>
        <w:rPr>
          <w:rFonts w:ascii="黑体" w:hAnsi="黑体" w:eastAsia="黑体"/>
          <w:sz w:val="32"/>
          <w:szCs w:val="32"/>
        </w:rPr>
        <w:t>对当前防汛</w:t>
      </w:r>
      <w:r>
        <w:rPr>
          <w:rFonts w:hint="eastAsia" w:ascii="黑体" w:hAnsi="黑体" w:eastAsia="黑体"/>
          <w:sz w:val="32"/>
          <w:szCs w:val="32"/>
        </w:rPr>
        <w:t>抗旱</w:t>
      </w:r>
      <w:r>
        <w:rPr>
          <w:rFonts w:ascii="黑体" w:hAnsi="黑体" w:eastAsia="黑体"/>
          <w:sz w:val="32"/>
          <w:szCs w:val="32"/>
        </w:rPr>
        <w:t>形势进行综合评价，并提出</w:t>
      </w:r>
      <w:r>
        <w:rPr>
          <w:rFonts w:hint="eastAsia" w:ascii="黑体" w:hAnsi="黑体" w:eastAsia="黑体"/>
          <w:sz w:val="32"/>
          <w:szCs w:val="32"/>
        </w:rPr>
        <w:t>会商决定</w:t>
      </w:r>
      <w:r>
        <w:rPr>
          <w:rFonts w:ascii="黑体" w:hAnsi="黑体" w:eastAsia="黑体"/>
          <w:sz w:val="32"/>
          <w:szCs w:val="32"/>
        </w:rPr>
        <w:t>工作建议。</w:t>
      </w:r>
    </w:p>
    <w:p w14:paraId="69F432C5">
      <w:pPr>
        <w:ind w:firstLine="640"/>
        <w:rPr>
          <w:rFonts w:ascii="黑体" w:hAnsi="黑体" w:eastAsia="黑体"/>
          <w:sz w:val="32"/>
          <w:szCs w:val="32"/>
        </w:rPr>
      </w:pPr>
      <w:r>
        <w:rPr>
          <w:rFonts w:hint="eastAsia" w:ascii="黑体" w:hAnsi="黑体" w:eastAsia="黑体"/>
          <w:sz w:val="32"/>
          <w:szCs w:val="32"/>
        </w:rPr>
        <w:t>八、其他需要会商研究的问题。作出会商决定并做出相应的工作部署</w:t>
      </w:r>
    </w:p>
    <w:p w14:paraId="1ECADE23">
      <w:pPr>
        <w:ind w:firstLine="640"/>
        <w:rPr>
          <w:rFonts w:ascii="宋体" w:hAnsi="宋体"/>
          <w:bCs/>
          <w:sz w:val="32"/>
          <w:szCs w:val="32"/>
        </w:rPr>
      </w:pPr>
      <w:bookmarkStart w:id="651" w:name="_Toc107596745"/>
      <w:bookmarkStart w:id="652" w:name="_Toc2512"/>
      <w:bookmarkStart w:id="653" w:name="_Toc20294"/>
      <w:bookmarkStart w:id="654" w:name="_Toc11090"/>
      <w:r>
        <w:rPr>
          <w:rFonts w:hint="eastAsia" w:ascii="宋体" w:hAnsi="宋体"/>
          <w:bCs/>
          <w:sz w:val="32"/>
          <w:szCs w:val="32"/>
        </w:rPr>
        <w:br w:type="page"/>
      </w:r>
    </w:p>
    <w:p w14:paraId="08D04295">
      <w:pPr>
        <w:widowControl/>
        <w:shd w:val="clear" w:color="auto" w:fill="FFFFFF"/>
        <w:adjustRightInd w:val="0"/>
        <w:snapToGrid w:val="0"/>
        <w:ind w:firstLine="640"/>
        <w:outlineLvl w:val="3"/>
        <w:rPr>
          <w:rFonts w:ascii="宋体" w:hAnsi="宋体"/>
          <w:bCs/>
          <w:sz w:val="32"/>
          <w:szCs w:val="32"/>
        </w:rPr>
        <w:sectPr>
          <w:headerReference r:id="rId5" w:type="default"/>
          <w:footerReference r:id="rId6" w:type="default"/>
          <w:pgSz w:w="11906" w:h="16838"/>
          <w:pgMar w:top="1956" w:right="1474" w:bottom="1843" w:left="1587" w:header="851" w:footer="992" w:gutter="0"/>
          <w:pgNumType w:start="1"/>
          <w:cols w:space="425" w:num="1"/>
          <w:docGrid w:type="lines" w:linePitch="312" w:charSpace="0"/>
        </w:sectPr>
      </w:pPr>
    </w:p>
    <w:p w14:paraId="27AA6CAD">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textAlignment w:val="auto"/>
        <w:rPr>
          <w:rFonts w:hint="eastAsia" w:ascii="仿宋_GB2312" w:hAnsi="仿宋_GB2312" w:eastAsia="仿宋_GB2312" w:cs="仿宋_GB2312"/>
        </w:rPr>
      </w:pPr>
      <w:bookmarkStart w:id="655" w:name="_Toc1030"/>
      <w:r>
        <w:rPr>
          <w:rFonts w:hint="eastAsia" w:ascii="仿宋_GB2312" w:hAnsi="仿宋_GB2312" w:eastAsia="仿宋_GB2312" w:cs="仿宋_GB2312"/>
        </w:rPr>
        <w:t>7.6.2附表</w:t>
      </w:r>
      <w:bookmarkEnd w:id="655"/>
    </w:p>
    <w:p w14:paraId="45D6939B">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56" w:name="_Toc26643"/>
      <w:r>
        <w:rPr>
          <w:rFonts w:hint="eastAsia" w:ascii="仿宋_GB2312" w:hAnsi="仿宋_GB2312" w:eastAsia="仿宋_GB2312" w:cs="仿宋_GB2312"/>
          <w:b w:val="0"/>
          <w:bCs/>
          <w:sz w:val="32"/>
          <w:szCs w:val="32"/>
        </w:rPr>
        <w:t>附表1：防汛预警响应工作流程表</w:t>
      </w:r>
      <w:bookmarkEnd w:id="656"/>
    </w:p>
    <w:p w14:paraId="09D2FDC6">
      <w:pPr>
        <w:widowControl/>
        <w:shd w:val="clear" w:color="auto" w:fill="FFFFFF"/>
        <w:adjustRightInd w:val="0"/>
        <w:snapToGrid w:val="0"/>
        <w:ind w:firstLine="640"/>
        <w:rPr>
          <w:rFonts w:ascii="宋体" w:hAnsi="宋体"/>
          <w:bCs/>
          <w:kern w:val="0"/>
          <w:sz w:val="32"/>
          <w:szCs w:val="32"/>
          <w:shd w:val="clear" w:color="auto" w:fill="FFFFFF"/>
        </w:rPr>
      </w:pPr>
    </w:p>
    <w:p w14:paraId="1CA0E652">
      <w:pPr>
        <w:widowControl/>
        <w:shd w:val="clear" w:color="auto" w:fill="FFFFFF"/>
        <w:adjustRightInd w:val="0"/>
        <w:snapToGrid w:val="0"/>
        <w:ind w:firstLine="0" w:firstLineChars="0"/>
        <w:jc w:val="center"/>
        <w:rPr>
          <w:rFonts w:hint="eastAsia" w:ascii="方正大标宋简体" w:eastAsia="方正大标宋简体"/>
        </w:rPr>
      </w:pPr>
      <w:r>
        <w:rPr>
          <w:rFonts w:hint="eastAsia" w:ascii="方正大标宋简体" w:hAnsi="宋体" w:eastAsia="方正大标宋简体"/>
          <w:bCs/>
          <w:kern w:val="0"/>
          <w:sz w:val="44"/>
          <w:szCs w:val="44"/>
          <w:shd w:val="clear" w:color="auto" w:fill="FFFFFF"/>
        </w:rPr>
        <w:t>防汛预警响应工作流程表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625"/>
        <w:gridCol w:w="3093"/>
        <w:gridCol w:w="5972"/>
        <w:gridCol w:w="909"/>
      </w:tblGrid>
      <w:tr w14:paraId="216D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7" w:type="pct"/>
            <w:noWrap/>
            <w:vAlign w:val="center"/>
          </w:tcPr>
          <w:p w14:paraId="11FC9091">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响应等级</w:t>
            </w:r>
          </w:p>
        </w:tc>
        <w:tc>
          <w:tcPr>
            <w:tcW w:w="990" w:type="pct"/>
            <w:noWrap/>
            <w:vAlign w:val="center"/>
          </w:tcPr>
          <w:p w14:paraId="68EE9442">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启动条件</w:t>
            </w:r>
          </w:p>
        </w:tc>
        <w:tc>
          <w:tcPr>
            <w:tcW w:w="1166" w:type="pct"/>
            <w:noWrap/>
            <w:vAlign w:val="center"/>
          </w:tcPr>
          <w:p w14:paraId="24E24F0A">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启动流程</w:t>
            </w:r>
          </w:p>
        </w:tc>
        <w:tc>
          <w:tcPr>
            <w:tcW w:w="2252" w:type="pct"/>
            <w:noWrap/>
            <w:vAlign w:val="center"/>
          </w:tcPr>
          <w:p w14:paraId="0B4C7460">
            <w:pPr>
              <w:adjustRightInd w:val="0"/>
              <w:snapToGrid w:val="0"/>
              <w:spacing w:line="240" w:lineRule="atLeast"/>
              <w:ind w:firstLine="0" w:firstLineChars="0"/>
              <w:jc w:val="center"/>
              <w:rPr>
                <w:rFonts w:ascii="黑体" w:hAnsi="黑体" w:eastAsia="黑体"/>
                <w:bCs/>
                <w:kern w:val="0"/>
                <w:sz w:val="22"/>
                <w:szCs w:val="22"/>
              </w:rPr>
            </w:pPr>
            <w:r>
              <w:rPr>
                <w:rFonts w:ascii="黑体" w:hAnsi="黑体" w:eastAsia="黑体"/>
                <w:bCs/>
                <w:kern w:val="0"/>
                <w:sz w:val="22"/>
                <w:szCs w:val="22"/>
              </w:rPr>
              <w:t>响应行动</w:t>
            </w:r>
          </w:p>
        </w:tc>
        <w:tc>
          <w:tcPr>
            <w:tcW w:w="342" w:type="pct"/>
            <w:noWrap/>
            <w:vAlign w:val="center"/>
          </w:tcPr>
          <w:p w14:paraId="5C452E10">
            <w:pPr>
              <w:adjustRightInd w:val="0"/>
              <w:snapToGrid w:val="0"/>
              <w:spacing w:line="240" w:lineRule="atLeast"/>
              <w:ind w:firstLine="0" w:firstLineChars="0"/>
              <w:jc w:val="center"/>
              <w:rPr>
                <w:rFonts w:ascii="黑体" w:hAnsi="黑体" w:eastAsia="黑体"/>
                <w:bCs/>
                <w:kern w:val="0"/>
                <w:sz w:val="22"/>
                <w:szCs w:val="22"/>
              </w:rPr>
            </w:pPr>
            <w:r>
              <w:rPr>
                <w:rFonts w:ascii="黑体" w:hAnsi="黑体" w:eastAsia="黑体"/>
                <w:bCs/>
                <w:kern w:val="0"/>
                <w:sz w:val="22"/>
                <w:szCs w:val="22"/>
              </w:rPr>
              <w:t>启动、变更和</w:t>
            </w:r>
            <w:r>
              <w:rPr>
                <w:rFonts w:hint="eastAsia" w:ascii="黑体" w:hAnsi="黑体" w:eastAsia="黑体"/>
                <w:bCs/>
                <w:kern w:val="0"/>
                <w:sz w:val="22"/>
                <w:szCs w:val="22"/>
              </w:rPr>
              <w:t>解除</w:t>
            </w:r>
          </w:p>
        </w:tc>
      </w:tr>
      <w:tr w14:paraId="6E08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trPr>
        <w:tc>
          <w:tcPr>
            <w:tcW w:w="247" w:type="pct"/>
            <w:noWrap/>
            <w:vAlign w:val="center"/>
          </w:tcPr>
          <w:p w14:paraId="244B1B30">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Ⅳ级（蓝色）</w:t>
            </w:r>
          </w:p>
        </w:tc>
        <w:tc>
          <w:tcPr>
            <w:tcW w:w="990" w:type="pct"/>
            <w:noWrap/>
            <w:vAlign w:val="center"/>
          </w:tcPr>
          <w:p w14:paraId="5083E5F9">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当发布局地1小时25mm、3小时40mm、6小时60mm降雨，洪水、地质灾害、城市内涝蓝色预警，旗防指可启动全旗或特定区域蓝色预警响应。</w:t>
            </w:r>
          </w:p>
        </w:tc>
        <w:tc>
          <w:tcPr>
            <w:tcW w:w="1166" w:type="pct"/>
            <w:noWrap/>
            <w:vAlign w:val="center"/>
          </w:tcPr>
          <w:p w14:paraId="7DAE227F">
            <w:pPr>
              <w:adjustRightInd w:val="0"/>
              <w:snapToGrid w:val="0"/>
              <w:spacing w:line="240" w:lineRule="atLeast"/>
              <w:ind w:firstLine="440"/>
              <w:rPr>
                <w:rFonts w:hint="eastAsia" w:ascii="仿宋_GB2312" w:hAnsi="宋体" w:eastAsia="仿宋_GB2312"/>
                <w:kern w:val="0"/>
                <w:sz w:val="22"/>
                <w:szCs w:val="22"/>
              </w:rPr>
            </w:pPr>
            <w:r>
              <w:rPr>
                <w:rFonts w:hint="eastAsia" w:ascii="仿宋_GB2312" w:hAnsi="宋体" w:eastAsia="仿宋_GB2312"/>
                <w:kern w:val="0"/>
                <w:sz w:val="22"/>
                <w:szCs w:val="22"/>
              </w:rPr>
              <w:t>旗防办提出启动预警响应建议→</w:t>
            </w:r>
          </w:p>
          <w:p w14:paraId="6E17FF81">
            <w:pPr>
              <w:adjustRightInd w:val="0"/>
              <w:snapToGrid w:val="0"/>
              <w:spacing w:line="240" w:lineRule="atLeast"/>
              <w:ind w:firstLine="440"/>
              <w:rPr>
                <w:rFonts w:hint="eastAsia" w:ascii="仿宋_GB2312" w:hAnsi="宋体" w:eastAsia="仿宋_GB2312"/>
                <w:kern w:val="0"/>
                <w:sz w:val="22"/>
                <w:szCs w:val="22"/>
              </w:rPr>
            </w:pPr>
            <w:r>
              <w:rPr>
                <w:rFonts w:hint="eastAsia" w:ascii="仿宋_GB2312" w:hAnsi="宋体" w:eastAsia="仿宋_GB2312"/>
                <w:kern w:val="0"/>
                <w:sz w:val="22"/>
                <w:szCs w:val="22"/>
              </w:rPr>
              <w:t>旗防指秘书长批准→紧急情况下由旗防指秘书长决定→旗防办通知旗防指领导和各成员单位，</w:t>
            </w:r>
            <w:r>
              <w:rPr>
                <w:rFonts w:hint="eastAsia" w:ascii="仿宋_GB2312" w:hAnsi="宋体" w:eastAsia="仿宋_GB2312"/>
                <w:kern w:val="0"/>
                <w:sz w:val="22"/>
                <w:szCs w:val="22"/>
                <w:lang w:eastAsia="zh-CN"/>
              </w:rPr>
              <w:t>并</w:t>
            </w:r>
            <w:r>
              <w:rPr>
                <w:rFonts w:hint="eastAsia" w:ascii="仿宋_GB2312" w:hAnsi="宋体" w:eastAsia="仿宋_GB2312"/>
                <w:kern w:val="0"/>
                <w:sz w:val="22"/>
                <w:szCs w:val="22"/>
              </w:rPr>
              <w:t>负责网上发布。</w:t>
            </w:r>
          </w:p>
        </w:tc>
        <w:tc>
          <w:tcPr>
            <w:tcW w:w="2252" w:type="pct"/>
            <w:noWrap/>
            <w:vAlign w:val="center"/>
          </w:tcPr>
          <w:p w14:paraId="4889BD8D">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旗防办及时掌握预警信息，密切关注并向旗防指报告雨情、水情、汛情、险情等情况，在4小时内组织应急、气象、水利、自然资源等部门会商。</w:t>
            </w:r>
          </w:p>
          <w:p w14:paraId="118EB78C">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相关苏木乡镇（街道）防指加强汛情监视。</w:t>
            </w:r>
          </w:p>
          <w:p w14:paraId="53EA75B0">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水利、住房和城乡建设、城市管理综合执法等部门组织对河道、水库、闸坝及城市低洼地区的巡查。</w:t>
            </w:r>
          </w:p>
          <w:p w14:paraId="635EE73C">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其他相关单位按照职能分工，做好有关工作。</w:t>
            </w:r>
          </w:p>
        </w:tc>
        <w:tc>
          <w:tcPr>
            <w:tcW w:w="342" w:type="pct"/>
            <w:noWrap/>
            <w:vAlign w:val="center"/>
          </w:tcPr>
          <w:p w14:paraId="525FB76F">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旗防指秘书长签发启动</w:t>
            </w:r>
          </w:p>
        </w:tc>
      </w:tr>
      <w:tr w14:paraId="77A1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5" w:hRule="atLeast"/>
        </w:trPr>
        <w:tc>
          <w:tcPr>
            <w:tcW w:w="247" w:type="pct"/>
            <w:noWrap/>
            <w:vAlign w:val="center"/>
          </w:tcPr>
          <w:p w14:paraId="42F3F463">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Ⅲ级（黄色）</w:t>
            </w:r>
          </w:p>
        </w:tc>
        <w:tc>
          <w:tcPr>
            <w:tcW w:w="990" w:type="pct"/>
            <w:noWrap/>
            <w:vAlign w:val="center"/>
          </w:tcPr>
          <w:p w14:paraId="11459E2B">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当发布局地1小时30mm、3小时45mm、6小时65mm降雨，洪水、地质灾害、城市内涝黄色预警，旗防指可启动全旗或特定区域黄色预警响应。在执行蓝色预警行动基础上进入黄色预警响应或直接启动黄色预警响应。</w:t>
            </w:r>
          </w:p>
        </w:tc>
        <w:tc>
          <w:tcPr>
            <w:tcW w:w="1166" w:type="pct"/>
            <w:noWrap/>
            <w:vAlign w:val="center"/>
          </w:tcPr>
          <w:p w14:paraId="3D240277">
            <w:pPr>
              <w:adjustRightInd w:val="0"/>
              <w:snapToGrid w:val="0"/>
              <w:spacing w:line="240" w:lineRule="atLeast"/>
              <w:ind w:firstLine="440"/>
              <w:rPr>
                <w:rFonts w:hint="eastAsia" w:ascii="仿宋_GB2312" w:hAnsi="宋体" w:eastAsia="仿宋_GB2312"/>
                <w:kern w:val="0"/>
                <w:sz w:val="22"/>
                <w:szCs w:val="22"/>
              </w:rPr>
            </w:pPr>
            <w:r>
              <w:rPr>
                <w:rFonts w:hint="eastAsia" w:ascii="仿宋_GB2312" w:hAnsi="宋体" w:eastAsia="仿宋_GB2312"/>
                <w:kern w:val="0"/>
                <w:sz w:val="22"/>
                <w:szCs w:val="22"/>
              </w:rPr>
              <w:t>旗防办提出启动预警响应建议→秘书长审核→旗防指常务副指挥（旗应急管理局局长）批准→紧急情况下由旗防指常务副指挥（旗应急管理局局长）决定→旗防办通知旗防指领导和各成员单位，并负责网上发布。</w:t>
            </w:r>
          </w:p>
        </w:tc>
        <w:tc>
          <w:tcPr>
            <w:tcW w:w="2252" w:type="pct"/>
            <w:noWrap/>
            <w:vAlign w:val="center"/>
          </w:tcPr>
          <w:p w14:paraId="120514CA">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旗防办及时掌握预警信息，密切关注并向旗防指报告雨情、水情、汛情、险情等情况，在3小时内组织应急、气象、水利、自然资源、住房和城乡建设、城市管理综合执法等部门会商，将会商决定上报旗委、旗政府、市防指。</w:t>
            </w:r>
          </w:p>
          <w:p w14:paraId="6D496BD7">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相关苏木乡镇（街道）防指密切监视汛情变化，启动《苏木乡镇（街道）强降雨期间转移避险响应方案》（附件5）《嘎查村(社区)强降雨期间转移避险处置方案》（附件6）和《强降雨期间山丘区人员转移避险工作方案》（附件7），随时准备转移危险地区群众；做好应急水源工程的保护和调度工作。</w:t>
            </w:r>
          </w:p>
          <w:p w14:paraId="79398236">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气象局加密天气预报服务工作，增加临近天气预报频次；水利局加强重点水库、河道、山洪灾害易发区的雨情、水情监测和水利工程巡堤查险，做好工程调度准备工作；</w:t>
            </w:r>
            <w:r>
              <w:rPr>
                <w:rFonts w:hint="eastAsia" w:ascii="仿宋_GB2312" w:hAnsi="宋体" w:eastAsia="仿宋_GB2312"/>
                <w:kern w:val="0"/>
                <w:sz w:val="22"/>
                <w:szCs w:val="22"/>
                <w:lang w:eastAsia="zh-CN"/>
              </w:rPr>
              <w:t>住房和城乡建设局</w:t>
            </w:r>
            <w:r>
              <w:rPr>
                <w:rFonts w:hint="eastAsia" w:ascii="仿宋_GB2312" w:hAnsi="宋体" w:eastAsia="仿宋_GB2312"/>
                <w:kern w:val="0"/>
                <w:sz w:val="22"/>
                <w:szCs w:val="22"/>
              </w:rPr>
              <w:t>、城市管理综合执法局等承担城市防汛应急工作的部门做好城市排涝准备工作。宣传部门利用各类媒体、公共场所大型显示屏等实时播报天气预报、安全提示等信息，适时关注。</w:t>
            </w:r>
          </w:p>
        </w:tc>
        <w:tc>
          <w:tcPr>
            <w:tcW w:w="342" w:type="pct"/>
            <w:noWrap/>
            <w:vAlign w:val="center"/>
          </w:tcPr>
          <w:p w14:paraId="38F9F824">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旗防指常务副指挥（旗应急管理局局长）签发启动</w:t>
            </w:r>
          </w:p>
        </w:tc>
      </w:tr>
      <w:tr w14:paraId="0B9C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noWrap/>
            <w:vAlign w:val="center"/>
          </w:tcPr>
          <w:p w14:paraId="7132B3E4">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Ⅱ级（橙色）</w:t>
            </w:r>
          </w:p>
        </w:tc>
        <w:tc>
          <w:tcPr>
            <w:tcW w:w="990" w:type="pct"/>
            <w:noWrap/>
            <w:vAlign w:val="center"/>
          </w:tcPr>
          <w:p w14:paraId="036CE045">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当发布局地1小时35mm、3小时50mm、6小时70mm降雨，洪水、地质灾害、城市内涝橙色预警，旗防指可启动全旗或特定区域橙色预警响应。在执行黄色预警行动基础上进入橙色预警响应或直接启动橙色预警响应。</w:t>
            </w:r>
          </w:p>
        </w:tc>
        <w:tc>
          <w:tcPr>
            <w:tcW w:w="1166" w:type="pct"/>
            <w:noWrap/>
            <w:vAlign w:val="center"/>
          </w:tcPr>
          <w:p w14:paraId="59D1E5CE">
            <w:pPr>
              <w:adjustRightInd w:val="0"/>
              <w:snapToGrid w:val="0"/>
              <w:spacing w:line="240" w:lineRule="atLeast"/>
              <w:ind w:firstLine="440"/>
              <w:rPr>
                <w:rFonts w:hint="eastAsia" w:ascii="仿宋_GB2312" w:hAnsi="宋体" w:eastAsia="仿宋_GB2312"/>
                <w:kern w:val="0"/>
                <w:sz w:val="22"/>
                <w:szCs w:val="22"/>
              </w:rPr>
            </w:pPr>
            <w:r>
              <w:rPr>
                <w:rFonts w:hint="eastAsia" w:ascii="仿宋_GB2312" w:hAnsi="宋体" w:eastAsia="仿宋_GB2312"/>
                <w:kern w:val="0"/>
                <w:sz w:val="22"/>
                <w:szCs w:val="22"/>
              </w:rPr>
              <w:t>旗防办提出启动预警响应建议→秘书长审核→旗防指常务副指挥（分管旗领导）批准→紧急情况下由旗防指常务副指挥（分管旗领导）决定→旗防办通知旗防指领导和各成员单位，并负责网上发布。</w:t>
            </w:r>
          </w:p>
        </w:tc>
        <w:tc>
          <w:tcPr>
            <w:tcW w:w="2252" w:type="pct"/>
            <w:noWrap/>
            <w:vAlign w:val="center"/>
          </w:tcPr>
          <w:p w14:paraId="51F8D92B">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旗防办及时掌握预警信息，密切关注并向旗防指报告雨情、水情、汛情、险情等情况，在2小时内组织旗防指有关成员单位会商，视情况加密会商研判，将会商决定上报旗委、旗政府、市防指。</w:t>
            </w:r>
          </w:p>
          <w:p w14:paraId="73801F55">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相关苏木乡镇（街道）防指密切监视汛情变化，应急抢险救援队伍随时待命准备转移危险区域群众。</w:t>
            </w:r>
          </w:p>
          <w:p w14:paraId="75852CFE">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气象局加密天气预报服务工作，增加临近天气预报频次；水利局加强重点水库、河道、山洪灾害易发区的雨情、水情监测以及水利工程巡堤查险，做好工程调度准备工作；</w:t>
            </w:r>
            <w:r>
              <w:rPr>
                <w:rFonts w:hint="eastAsia" w:ascii="仿宋_GB2312" w:hAnsi="宋体" w:eastAsia="仿宋_GB2312"/>
                <w:kern w:val="0"/>
                <w:sz w:val="22"/>
                <w:szCs w:val="22"/>
                <w:lang w:eastAsia="zh-CN"/>
              </w:rPr>
              <w:t>住房和城乡建设局</w:t>
            </w:r>
            <w:r>
              <w:rPr>
                <w:rFonts w:hint="eastAsia" w:ascii="仿宋_GB2312" w:hAnsi="宋体" w:eastAsia="仿宋_GB2312"/>
                <w:kern w:val="0"/>
                <w:sz w:val="22"/>
                <w:szCs w:val="22"/>
              </w:rPr>
              <w:t>、城市综合执法局等承担城市防汛应急工作的部门做好城市排涝准备工作。应急管理局调动应急抢险救援队伍准备赴抢险一线，预置调拨救灾物资；旗防指从专家库中抽取水利、应急等专家组成专家组，准备赴一线进行技术指导。驻旗解放军、武警部队、消防救援等应急抢险救援队伍做好抗洪抢险准备。宣传部门利用各类媒体、公共场所大型显示屏等实时播报天气预报、安全提示等信息，及时关注。</w:t>
            </w:r>
          </w:p>
        </w:tc>
        <w:tc>
          <w:tcPr>
            <w:tcW w:w="342" w:type="pct"/>
            <w:noWrap/>
            <w:vAlign w:val="center"/>
          </w:tcPr>
          <w:p w14:paraId="70BB7577">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旗防指常务副指挥（分管旗领导）签发启动</w:t>
            </w:r>
          </w:p>
        </w:tc>
      </w:tr>
      <w:tr w14:paraId="7BE5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noWrap/>
            <w:vAlign w:val="center"/>
          </w:tcPr>
          <w:p w14:paraId="2EC2E602">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Ⅰ级（红色）</w:t>
            </w:r>
          </w:p>
        </w:tc>
        <w:tc>
          <w:tcPr>
            <w:tcW w:w="990" w:type="pct"/>
            <w:noWrap/>
            <w:vAlign w:val="center"/>
          </w:tcPr>
          <w:p w14:paraId="3EB0F3CC">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当发布局地1小时40mm、3小时55mm、6小时75mm降雨、预报未来3日内仍有100mm以上的暴雨，洪水、地质灾害、城市内涝红色预警，旗防指可根据实际情况启动全旗或特定区域红色预警响应。在执行橙色预警行动基础上进入红色预警响应或直接启动红色预警响应。</w:t>
            </w:r>
          </w:p>
        </w:tc>
        <w:tc>
          <w:tcPr>
            <w:tcW w:w="1166" w:type="pct"/>
            <w:noWrap/>
            <w:vAlign w:val="center"/>
          </w:tcPr>
          <w:p w14:paraId="6413A00B">
            <w:pPr>
              <w:adjustRightInd w:val="0"/>
              <w:snapToGrid w:val="0"/>
              <w:spacing w:line="240" w:lineRule="atLeast"/>
              <w:ind w:firstLine="440"/>
              <w:rPr>
                <w:rFonts w:hint="eastAsia" w:ascii="仿宋_GB2312" w:hAnsi="宋体" w:eastAsia="仿宋_GB2312"/>
                <w:kern w:val="0"/>
                <w:sz w:val="22"/>
                <w:szCs w:val="22"/>
              </w:rPr>
            </w:pPr>
            <w:r>
              <w:rPr>
                <w:rFonts w:hint="eastAsia" w:ascii="仿宋_GB2312" w:hAnsi="宋体" w:eastAsia="仿宋_GB2312"/>
                <w:kern w:val="0"/>
                <w:sz w:val="22"/>
                <w:szCs w:val="22"/>
              </w:rPr>
              <w:t>旗防办提出启动预警响应建议→旗防指常务副指挥审核→旗防指指挥长批准→紧急情况下由旗防指指挥长决定→旗防办通知旗防指领导和各成员单位，并由负责网上发布。</w:t>
            </w:r>
          </w:p>
        </w:tc>
        <w:tc>
          <w:tcPr>
            <w:tcW w:w="2252" w:type="pct"/>
            <w:noWrap/>
            <w:vAlign w:val="center"/>
          </w:tcPr>
          <w:p w14:paraId="53F452B2">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旗防办及时掌握预警信号，密切关注并向旗防指报告雨情、水情、汛情、险情等情况，在1小时内组织旗防指各成员单位会商，视情况加密会商研判，将会商决定上报旗委、旗政府、市防指。</w:t>
            </w:r>
          </w:p>
          <w:p w14:paraId="0BA8EAF4">
            <w:pPr>
              <w:adjustRightInd w:val="0"/>
              <w:snapToGrid w:val="0"/>
              <w:spacing w:line="240" w:lineRule="atLeast"/>
              <w:ind w:firstLine="440"/>
              <w:jc w:val="left"/>
              <w:rPr>
                <w:rFonts w:hint="eastAsia" w:ascii="仿宋_GB2312" w:hAnsi="宋体" w:eastAsia="仿宋_GB2312"/>
                <w:spacing w:val="-6"/>
                <w:kern w:val="0"/>
                <w:sz w:val="22"/>
                <w:szCs w:val="22"/>
              </w:rPr>
            </w:pPr>
            <w:r>
              <w:rPr>
                <w:rFonts w:hint="eastAsia" w:ascii="仿宋_GB2312" w:hAnsi="宋体" w:eastAsia="仿宋_GB2312"/>
                <w:spacing w:val="-6"/>
                <w:kern w:val="0"/>
                <w:sz w:val="22"/>
                <w:szCs w:val="22"/>
              </w:rPr>
              <w:t>旗防指总指挥坐镇统一指挥、部署全旗防汛应急工作，动员全旗军民全力做好抢险救灾准备。</w:t>
            </w:r>
          </w:p>
          <w:p w14:paraId="34B7500D">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旗防指成员单位组织指挥本系统、本行业全力做好防汛抢险救灾准备工作。旗防办密切监视雨情、水情、汛情、险情等情况。相关苏木乡镇（街道）防指密切监视汛情变化，应急抢险救援队伍奉命立即转移危险区域群众。及时启动停工（业）、停产、停学、休市等强制管控措施，关闭全旗所有涉水、涉山的旅游休闲景区、公园，封堵积水的交通桥涵。</w:t>
            </w:r>
          </w:p>
          <w:p w14:paraId="5B4B9CCF">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气象局加密天气预报服务工作，增加临近天气预报频次；水利局做好水库等水利工程的调度工作；住房</w:t>
            </w:r>
            <w:r>
              <w:rPr>
                <w:rFonts w:hint="eastAsia" w:ascii="仿宋_GB2312" w:hAnsi="宋体" w:eastAsia="仿宋_GB2312"/>
                <w:kern w:val="0"/>
                <w:sz w:val="22"/>
                <w:szCs w:val="22"/>
                <w:lang w:eastAsia="zh-CN"/>
              </w:rPr>
              <w:t>和</w:t>
            </w:r>
            <w:r>
              <w:rPr>
                <w:rFonts w:hint="eastAsia" w:ascii="仿宋_GB2312" w:hAnsi="宋体" w:eastAsia="仿宋_GB2312"/>
                <w:kern w:val="0"/>
                <w:sz w:val="22"/>
                <w:szCs w:val="22"/>
              </w:rPr>
              <w:t>城乡建设局、城市管理综合执法局等承担城市防汛应急工作的部门做好城市防洪排涝工作。应急管理局调动应急抢险救援队伍，准备赴抢险一线，预置调拨救灾物资；旗防指从专家库中抽取水利、应急等专家组成专家组，赴一线进行技术指导，为旗委、旗政府科学决策提供技术支撑。</w:t>
            </w:r>
          </w:p>
          <w:p w14:paraId="365576AF">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全旗各级抢险队伍进入预警响应状态，驻旗解放军、武警部队、消防救援、森林消防等应急抢险救援队伍根据旗防指的指令，机动至抢险救灾位置，各类应急物资保障单位为防汛抢险救灾工作提供全力保障。</w:t>
            </w:r>
          </w:p>
          <w:p w14:paraId="069A281C">
            <w:pPr>
              <w:adjustRightInd w:val="0"/>
              <w:snapToGrid w:val="0"/>
              <w:spacing w:line="240" w:lineRule="atLeast"/>
              <w:ind w:firstLine="440"/>
              <w:jc w:val="left"/>
              <w:rPr>
                <w:rFonts w:hint="eastAsia" w:ascii="仿宋_GB2312" w:hAnsi="宋体" w:eastAsia="仿宋_GB2312"/>
                <w:kern w:val="0"/>
                <w:sz w:val="22"/>
                <w:szCs w:val="22"/>
              </w:rPr>
            </w:pPr>
            <w:r>
              <w:rPr>
                <w:rFonts w:hint="eastAsia" w:ascii="仿宋_GB2312" w:hAnsi="宋体" w:eastAsia="仿宋_GB2312"/>
                <w:kern w:val="0"/>
                <w:sz w:val="22"/>
                <w:szCs w:val="22"/>
              </w:rPr>
              <w:t>宣传部门利用各类媒体、公共场所大型显示屏等实时播报天气预报、安全提示等信息，及时关注。公共广播、电视和公共场所大型显示屏等管理单位及时播发和随时插播有关预警信息、安全提示，各电信运营商协助做好上述相关信息的短信发布工作。</w:t>
            </w:r>
          </w:p>
        </w:tc>
        <w:tc>
          <w:tcPr>
            <w:tcW w:w="342" w:type="pct"/>
            <w:noWrap/>
            <w:vAlign w:val="center"/>
          </w:tcPr>
          <w:p w14:paraId="69327DB8">
            <w:pPr>
              <w:adjustRightInd w:val="0"/>
              <w:snapToGrid w:val="0"/>
              <w:spacing w:line="240" w:lineRule="atLeast"/>
              <w:ind w:firstLine="0" w:firstLineChars="0"/>
              <w:jc w:val="center"/>
              <w:rPr>
                <w:rFonts w:hint="eastAsia" w:ascii="仿宋_GB2312" w:hAnsi="宋体" w:eastAsia="仿宋_GB2312"/>
                <w:kern w:val="0"/>
                <w:sz w:val="22"/>
                <w:szCs w:val="22"/>
              </w:rPr>
            </w:pPr>
            <w:r>
              <w:rPr>
                <w:rFonts w:hint="eastAsia" w:ascii="仿宋_GB2312" w:hAnsi="宋体" w:eastAsia="仿宋_GB2312"/>
                <w:kern w:val="0"/>
                <w:sz w:val="22"/>
                <w:szCs w:val="22"/>
              </w:rPr>
              <w:t>旗防指指挥长签发启动</w:t>
            </w:r>
          </w:p>
        </w:tc>
      </w:tr>
    </w:tbl>
    <w:p w14:paraId="0F5BF431">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ascii="宋体" w:hAnsi="宋体"/>
          <w:bCs/>
          <w:kern w:val="0"/>
          <w:sz w:val="32"/>
          <w:szCs w:val="32"/>
          <w:shd w:val="clear" w:color="auto" w:fill="FFFFFF"/>
        </w:rPr>
      </w:pPr>
      <w:r>
        <w:rPr>
          <w:rFonts w:hint="eastAsia" w:ascii="宋体" w:hAnsi="宋体"/>
          <w:bCs/>
          <w:sz w:val="32"/>
          <w:szCs w:val="32"/>
        </w:rPr>
        <w:br w:type="page"/>
      </w:r>
      <w:bookmarkStart w:id="657" w:name="_Toc1312"/>
      <w:r>
        <w:rPr>
          <w:rFonts w:hint="eastAsia" w:ascii="仿宋_GB2312" w:hAnsi="仿宋_GB2312" w:eastAsia="仿宋_GB2312" w:cs="仿宋_GB2312"/>
          <w:b w:val="0"/>
          <w:bCs/>
          <w:sz w:val="32"/>
          <w:szCs w:val="32"/>
          <w:lang w:val="en-US" w:eastAsia="zh-CN"/>
        </w:rPr>
        <w:t>附表2：防汛抗旱应急响应工作流程表</w:t>
      </w:r>
      <w:bookmarkEnd w:id="657"/>
    </w:p>
    <w:p w14:paraId="17ED5639">
      <w:pPr>
        <w:ind w:firstLine="640"/>
        <w:rPr>
          <w:rFonts w:ascii="宋体" w:hAnsi="宋体"/>
          <w:bCs/>
          <w:sz w:val="32"/>
          <w:szCs w:val="32"/>
        </w:rPr>
      </w:pPr>
    </w:p>
    <w:p w14:paraId="113578B8">
      <w:pPr>
        <w:ind w:firstLine="880"/>
        <w:jc w:val="center"/>
        <w:rPr>
          <w:rFonts w:hint="eastAsia" w:ascii="方正大标宋简体" w:hAnsi="宋体" w:eastAsia="方正大标宋简体"/>
          <w:bCs/>
          <w:kern w:val="0"/>
          <w:sz w:val="44"/>
          <w:szCs w:val="44"/>
          <w:shd w:val="clear" w:color="auto" w:fill="FFFFFF"/>
        </w:rPr>
      </w:pPr>
      <w:r>
        <w:rPr>
          <w:rFonts w:hint="eastAsia" w:ascii="方正大标宋简体" w:hAnsi="宋体" w:eastAsia="方正大标宋简体"/>
          <w:bCs/>
          <w:kern w:val="0"/>
          <w:sz w:val="44"/>
          <w:szCs w:val="44"/>
          <w:shd w:val="clear" w:color="auto" w:fill="FFFFFF"/>
        </w:rPr>
        <w:t>防汛抗旱应急响应工作流程表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880"/>
        <w:gridCol w:w="2295"/>
        <w:gridCol w:w="1485"/>
        <w:gridCol w:w="4725"/>
        <w:gridCol w:w="1207"/>
      </w:tblGrid>
      <w:tr w14:paraId="1EA9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0" w:type="pct"/>
            <w:noWrap/>
            <w:vAlign w:val="center"/>
          </w:tcPr>
          <w:p w14:paraId="740EAC83">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响应</w:t>
            </w:r>
          </w:p>
          <w:p w14:paraId="7FFD86CE">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等级</w:t>
            </w:r>
          </w:p>
        </w:tc>
        <w:tc>
          <w:tcPr>
            <w:tcW w:w="1086" w:type="pct"/>
            <w:noWrap/>
            <w:vAlign w:val="center"/>
          </w:tcPr>
          <w:p w14:paraId="219024A0">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防汛应急响应启动条件</w:t>
            </w:r>
          </w:p>
        </w:tc>
        <w:tc>
          <w:tcPr>
            <w:tcW w:w="865" w:type="pct"/>
            <w:noWrap/>
            <w:vAlign w:val="center"/>
          </w:tcPr>
          <w:p w14:paraId="03E45209">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抗旱应急响应启动条件</w:t>
            </w:r>
          </w:p>
        </w:tc>
        <w:tc>
          <w:tcPr>
            <w:tcW w:w="560" w:type="pct"/>
            <w:noWrap/>
            <w:vAlign w:val="center"/>
          </w:tcPr>
          <w:p w14:paraId="725C9005">
            <w:pPr>
              <w:adjustRightInd w:val="0"/>
              <w:snapToGrid w:val="0"/>
              <w:spacing w:line="240" w:lineRule="atLeast"/>
              <w:ind w:firstLine="0" w:firstLineChars="0"/>
              <w:jc w:val="center"/>
              <w:rPr>
                <w:rFonts w:ascii="黑体" w:hAnsi="黑体" w:eastAsia="黑体"/>
                <w:bCs/>
                <w:kern w:val="0"/>
                <w:sz w:val="22"/>
                <w:szCs w:val="22"/>
              </w:rPr>
            </w:pPr>
            <w:r>
              <w:rPr>
                <w:rFonts w:hint="eastAsia" w:ascii="黑体" w:hAnsi="黑体" w:eastAsia="黑体"/>
                <w:bCs/>
                <w:kern w:val="0"/>
                <w:sz w:val="22"/>
                <w:szCs w:val="22"/>
              </w:rPr>
              <w:t>启动流程</w:t>
            </w:r>
          </w:p>
        </w:tc>
        <w:tc>
          <w:tcPr>
            <w:tcW w:w="1782" w:type="pct"/>
            <w:noWrap/>
            <w:vAlign w:val="center"/>
          </w:tcPr>
          <w:p w14:paraId="45E44AE3">
            <w:pPr>
              <w:adjustRightInd w:val="0"/>
              <w:snapToGrid w:val="0"/>
              <w:spacing w:line="240" w:lineRule="atLeast"/>
              <w:ind w:firstLine="0" w:firstLineChars="0"/>
              <w:jc w:val="center"/>
              <w:rPr>
                <w:rFonts w:ascii="宋体" w:hAnsi="宋体"/>
                <w:b/>
                <w:bCs/>
                <w:kern w:val="0"/>
                <w:sz w:val="22"/>
                <w:szCs w:val="22"/>
              </w:rPr>
            </w:pPr>
            <w:r>
              <w:rPr>
                <w:rFonts w:ascii="宋体" w:hAnsi="宋体"/>
                <w:b/>
                <w:bCs/>
                <w:kern w:val="0"/>
                <w:sz w:val="22"/>
                <w:szCs w:val="22"/>
              </w:rPr>
              <w:t>响应行动</w:t>
            </w:r>
          </w:p>
        </w:tc>
        <w:tc>
          <w:tcPr>
            <w:tcW w:w="455" w:type="pct"/>
            <w:noWrap/>
            <w:vAlign w:val="center"/>
          </w:tcPr>
          <w:p w14:paraId="5340A175">
            <w:pPr>
              <w:adjustRightInd w:val="0"/>
              <w:snapToGrid w:val="0"/>
              <w:spacing w:line="240" w:lineRule="atLeast"/>
              <w:ind w:firstLine="0" w:firstLineChars="0"/>
              <w:jc w:val="center"/>
              <w:rPr>
                <w:rFonts w:ascii="宋体" w:hAnsi="宋体"/>
                <w:b/>
                <w:bCs/>
                <w:kern w:val="0"/>
                <w:sz w:val="22"/>
                <w:szCs w:val="22"/>
              </w:rPr>
            </w:pPr>
            <w:r>
              <w:rPr>
                <w:rFonts w:ascii="宋体" w:hAnsi="宋体"/>
                <w:b/>
                <w:bCs/>
                <w:kern w:val="0"/>
                <w:sz w:val="22"/>
                <w:szCs w:val="22"/>
              </w:rPr>
              <w:t>启动、变更和</w:t>
            </w:r>
            <w:r>
              <w:rPr>
                <w:rFonts w:hint="eastAsia" w:ascii="宋体" w:hAnsi="宋体"/>
                <w:b/>
                <w:bCs/>
                <w:kern w:val="0"/>
                <w:sz w:val="22"/>
                <w:szCs w:val="22"/>
              </w:rPr>
              <w:t>结束</w:t>
            </w:r>
          </w:p>
        </w:tc>
      </w:tr>
      <w:tr w14:paraId="2605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noWrap/>
            <w:vAlign w:val="center"/>
          </w:tcPr>
          <w:p w14:paraId="4D59F182">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Ⅳ级</w:t>
            </w:r>
          </w:p>
          <w:p w14:paraId="5A7C888F">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（蓝色）</w:t>
            </w:r>
          </w:p>
        </w:tc>
        <w:tc>
          <w:tcPr>
            <w:tcW w:w="1086" w:type="pct"/>
            <w:noWrap/>
            <w:vAlign w:val="center"/>
          </w:tcPr>
          <w:p w14:paraId="7661EC0F">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（1）气象、水利、自然资源等部门发布暴雨、洪水、地质灾害蓝色预警信号，旗防指已启动预警响应。</w:t>
            </w:r>
          </w:p>
          <w:p w14:paraId="398A902C">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（2）河湖、水库大坝、堤防、闸涵等防洪工程出现较大险情。</w:t>
            </w:r>
          </w:p>
          <w:p w14:paraId="5DB65233">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（3）100平方公里规模以下河流出现洪水，河道超过警戒水位。</w:t>
            </w:r>
          </w:p>
          <w:p w14:paraId="2548C4E9">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（4）土壤下垫面基本饱和，局地已发生25毫米以上降雨。</w:t>
            </w:r>
          </w:p>
          <w:p w14:paraId="0134C677">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（5）发生局地暴雨和山洪灾害。</w:t>
            </w:r>
          </w:p>
          <w:p w14:paraId="21DE93B5">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（6）重点山洪沟口洪水漫堤，</w:t>
            </w:r>
            <w:r>
              <w:rPr>
                <w:rFonts w:hint="eastAsia" w:ascii="仿宋_GB2312" w:hAnsi="仿宋_GB2312" w:eastAsia="仿宋_GB2312" w:cs="仿宋_GB2312"/>
                <w:kern w:val="0"/>
                <w:sz w:val="22"/>
                <w:szCs w:val="22"/>
                <w:lang w:eastAsia="zh-CN"/>
              </w:rPr>
              <w:t>威胁</w:t>
            </w:r>
            <w:r>
              <w:rPr>
                <w:rFonts w:hint="eastAsia" w:ascii="仿宋_GB2312" w:hAnsi="仿宋_GB2312" w:eastAsia="仿宋_GB2312" w:cs="仿宋_GB2312"/>
                <w:kern w:val="0"/>
                <w:sz w:val="22"/>
                <w:szCs w:val="22"/>
              </w:rPr>
              <w:t>部分村庄房屋安全。</w:t>
            </w:r>
          </w:p>
          <w:p w14:paraId="72C90FF2">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（7）自治区防指和市防指发布与克旗有关的防汛应急响应。</w:t>
            </w:r>
          </w:p>
        </w:tc>
        <w:tc>
          <w:tcPr>
            <w:tcW w:w="865" w:type="pct"/>
            <w:noWrap/>
            <w:vAlign w:val="center"/>
          </w:tcPr>
          <w:p w14:paraId="44A460D8">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（1）全旗农作物受旱面积占播种面积大于20%、小于或等于30%，或牧业旱期连续天数春秋季30</w:t>
            </w:r>
            <w:r>
              <w:rPr>
                <w:rFonts w:hint="eastAsia" w:ascii="仿宋_GB2312" w:hAnsi="仿宋_GB2312" w:eastAsia="仿宋_GB2312" w:cs="仿宋_GB2312"/>
                <w:kern w:val="0"/>
                <w:sz w:val="22"/>
                <w:szCs w:val="22"/>
                <w:lang w:eastAsia="zh-CN"/>
              </w:rPr>
              <w:t>～</w:t>
            </w:r>
            <w:r>
              <w:rPr>
                <w:rFonts w:hint="eastAsia" w:ascii="仿宋_GB2312" w:hAnsi="仿宋_GB2312" w:eastAsia="仿宋_GB2312" w:cs="仿宋_GB2312"/>
                <w:kern w:val="0"/>
                <w:sz w:val="22"/>
                <w:szCs w:val="22"/>
              </w:rPr>
              <w:t>39天、夏季20</w:t>
            </w:r>
            <w:r>
              <w:rPr>
                <w:rFonts w:hint="eastAsia" w:ascii="仿宋_GB2312" w:hAnsi="仿宋_GB2312" w:eastAsia="仿宋_GB2312" w:cs="仿宋_GB2312"/>
                <w:kern w:val="0"/>
                <w:sz w:val="22"/>
                <w:szCs w:val="22"/>
                <w:lang w:eastAsia="zh-CN"/>
              </w:rPr>
              <w:t>～</w:t>
            </w:r>
            <w:r>
              <w:rPr>
                <w:rFonts w:hint="eastAsia" w:ascii="仿宋_GB2312" w:hAnsi="仿宋_GB2312" w:eastAsia="仿宋_GB2312" w:cs="仿宋_GB2312"/>
                <w:kern w:val="0"/>
                <w:sz w:val="22"/>
                <w:szCs w:val="22"/>
              </w:rPr>
              <w:t>29天。</w:t>
            </w:r>
          </w:p>
          <w:p w14:paraId="53FDC0BC">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（2）因旱造成饮水困难人口占全旗总人口比例大于10%、小于或等于15%。</w:t>
            </w:r>
          </w:p>
          <w:p w14:paraId="63761859">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（3）连续15天城市供水保障率小于或等于95%。</w:t>
            </w:r>
          </w:p>
          <w:p w14:paraId="35FB9B67">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（4）其他专项预案中需要启动抗旱Ⅳ级响应的情况。</w:t>
            </w:r>
          </w:p>
        </w:tc>
        <w:tc>
          <w:tcPr>
            <w:tcW w:w="560" w:type="pct"/>
            <w:noWrap/>
            <w:vAlign w:val="center"/>
          </w:tcPr>
          <w:p w14:paraId="56FD70C9">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旗防办提出启动应急响应建议→旗防指副指挥（旗应急局局长）或秘书长批准→紧急情况下由旗防指副指挥（旗应急局局长）或秘书长决定→旗防办通知旗防指领导和各成员单位，并负责网上发布。</w:t>
            </w:r>
          </w:p>
        </w:tc>
        <w:tc>
          <w:tcPr>
            <w:tcW w:w="1782" w:type="pct"/>
            <w:noWrap/>
            <w:vAlign w:val="center"/>
          </w:tcPr>
          <w:p w14:paraId="60FD79E8">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（1）旗防办主任主持会商，应急管理、气象、水利、水文等主要成员单位参加，研究分析汛情、旱情演进和影响情况，</w:t>
            </w:r>
            <w:r>
              <w:rPr>
                <w:rFonts w:hint="eastAsia" w:ascii="仿宋_GB2312" w:hAnsi="仿宋_GB2312" w:eastAsia="仿宋_GB2312" w:cs="仿宋_GB2312"/>
                <w:kern w:val="0"/>
                <w:sz w:val="22"/>
                <w:szCs w:val="22"/>
                <w:lang w:eastAsia="zh-CN"/>
              </w:rPr>
              <w:t>做出</w:t>
            </w:r>
            <w:r>
              <w:rPr>
                <w:rFonts w:hint="eastAsia" w:ascii="仿宋_GB2312" w:hAnsi="仿宋_GB2312" w:eastAsia="仿宋_GB2312" w:cs="仿宋_GB2312"/>
                <w:kern w:val="0"/>
                <w:sz w:val="22"/>
                <w:szCs w:val="22"/>
              </w:rPr>
              <w:t>相应工作安排。视情连线有关苏木乡镇（街道）防指进行提示提醒。</w:t>
            </w:r>
          </w:p>
          <w:p w14:paraId="41D359B9">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（2）旗防办实行24小时“领导带班+加强型值班+应急备班”防汛值班，密切监视汛情、旱情、灾情变化。</w:t>
            </w:r>
          </w:p>
          <w:p w14:paraId="2D88B36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（3）旗防指各成员单位按照职能分工做好相关工作，按要求向旗防办报告工作动态。</w:t>
            </w:r>
          </w:p>
          <w:p w14:paraId="67C76CA6">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（4）事发地苏木乡镇（街道）防指按要求向旗防办报告工作动态，突发灾情、险情及时报告。</w:t>
            </w:r>
          </w:p>
        </w:tc>
        <w:tc>
          <w:tcPr>
            <w:tcW w:w="455" w:type="pct"/>
            <w:noWrap/>
            <w:vAlign w:val="center"/>
          </w:tcPr>
          <w:p w14:paraId="7CFD32D4">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旗防指副指挥或秘书长签发启动</w:t>
            </w:r>
          </w:p>
        </w:tc>
      </w:tr>
      <w:tr w14:paraId="789B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trPr>
        <w:tc>
          <w:tcPr>
            <w:tcW w:w="250" w:type="pct"/>
            <w:noWrap/>
            <w:vAlign w:val="center"/>
          </w:tcPr>
          <w:p w14:paraId="029F8A64">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Ⅲ级</w:t>
            </w:r>
          </w:p>
          <w:p w14:paraId="6766A626">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（黄色）</w:t>
            </w:r>
          </w:p>
        </w:tc>
        <w:tc>
          <w:tcPr>
            <w:tcW w:w="1086" w:type="pct"/>
            <w:noWrap/>
            <w:vAlign w:val="center"/>
          </w:tcPr>
          <w:p w14:paraId="551BEDCB">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（1）气象、水利、自然资源等部门发布暴雨、洪水、地质灾害黄色预警信号，旗防指已启动预警响应。</w:t>
            </w:r>
          </w:p>
          <w:p w14:paraId="00BB163A">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（2）河湖、水库大坝、堤防、闸涵等防洪工程出现重大险情。</w:t>
            </w:r>
          </w:p>
          <w:p w14:paraId="6E3F3417">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（3）500平方公里规模以下河流出现洪水，河道超过警戒水位。</w:t>
            </w:r>
          </w:p>
          <w:p w14:paraId="5C103CC0">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（4）主要防洪河道一般河段及主要支流堤防发生险情尚未决口。</w:t>
            </w:r>
          </w:p>
          <w:p w14:paraId="768481BF">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（5）发生区域性暴雨和山洪灾害。</w:t>
            </w:r>
          </w:p>
          <w:p w14:paraId="79DB16EB">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（6）洪涝灾害危及人民群众生命和财产安全。</w:t>
            </w:r>
          </w:p>
          <w:p w14:paraId="2F0919B8">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（7）自治区防指和市防指发布与克旗有关的防汛应急响应。</w:t>
            </w:r>
          </w:p>
        </w:tc>
        <w:tc>
          <w:tcPr>
            <w:tcW w:w="865" w:type="pct"/>
            <w:noWrap/>
            <w:vAlign w:val="center"/>
          </w:tcPr>
          <w:p w14:paraId="6F9AB6B2">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（1）全旗农作物受旱面积占播种面积大于30%、小于或等于50%，或牧业旱期连续天数春秋季40</w:t>
            </w:r>
            <w:r>
              <w:rPr>
                <w:rFonts w:hint="eastAsia" w:ascii="仿宋_GB2312" w:hAnsi="仿宋_GB2312" w:eastAsia="仿宋_GB2312" w:cs="仿宋_GB2312"/>
                <w:kern w:val="0"/>
                <w:sz w:val="22"/>
                <w:szCs w:val="22"/>
                <w:lang w:eastAsia="zh-CN"/>
              </w:rPr>
              <w:t>～</w:t>
            </w:r>
            <w:r>
              <w:rPr>
                <w:rFonts w:hint="eastAsia" w:ascii="仿宋_GB2312" w:hAnsi="仿宋_GB2312" w:eastAsia="仿宋_GB2312" w:cs="仿宋_GB2312"/>
                <w:kern w:val="0"/>
                <w:sz w:val="22"/>
                <w:szCs w:val="22"/>
              </w:rPr>
              <w:t>49天、夏季30</w:t>
            </w:r>
            <w:r>
              <w:rPr>
                <w:rFonts w:hint="eastAsia" w:ascii="仿宋_GB2312" w:hAnsi="仿宋_GB2312" w:eastAsia="仿宋_GB2312" w:cs="仿宋_GB2312"/>
                <w:kern w:val="0"/>
                <w:sz w:val="22"/>
                <w:szCs w:val="22"/>
                <w:lang w:eastAsia="zh-CN"/>
              </w:rPr>
              <w:t>～</w:t>
            </w:r>
            <w:r>
              <w:rPr>
                <w:rFonts w:hint="eastAsia" w:ascii="仿宋_GB2312" w:hAnsi="仿宋_GB2312" w:eastAsia="仿宋_GB2312" w:cs="仿宋_GB2312"/>
                <w:kern w:val="0"/>
                <w:sz w:val="22"/>
                <w:szCs w:val="22"/>
              </w:rPr>
              <w:t>39天。</w:t>
            </w:r>
          </w:p>
          <w:p w14:paraId="39A2DD96">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（2）因旱造成饮水困难人口占全旗总人口比例大于15%、小于或等于20%。</w:t>
            </w:r>
          </w:p>
          <w:p w14:paraId="0E66C44D">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（3）连续15天城市供水保障率小于或等于90%。</w:t>
            </w:r>
          </w:p>
          <w:p w14:paraId="3BF0A6E1">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（4）其他专项预案中需要启动抗旱Ⅲ级响应的情况。</w:t>
            </w:r>
          </w:p>
        </w:tc>
        <w:tc>
          <w:tcPr>
            <w:tcW w:w="560" w:type="pct"/>
            <w:noWrap/>
            <w:vAlign w:val="center"/>
          </w:tcPr>
          <w:p w14:paraId="0B7C2AFC">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旗防办提出启动应急响应建议→秘书长审核→旗防指常务副指挥批准→紧急情况下由旗防指常务副指挥决定→旗防办通知旗防指领导和各成员单位，并由负责网上发布。</w:t>
            </w:r>
          </w:p>
        </w:tc>
        <w:tc>
          <w:tcPr>
            <w:tcW w:w="1782" w:type="pct"/>
            <w:noWrap/>
            <w:vAlign w:val="center"/>
          </w:tcPr>
          <w:p w14:paraId="14D7E43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由旗防办主任主持会商，应急管理、气象、水利、水文、自然资源、住房和城乡建设、交通运输等成员单位参加，分析研判汛情、旱情、灾情演进和影响情况，部署防汛抗旱工作，明确工作目标和重点，发布人员准备转移命令。重要情况及时上报旗委、旗政府和市防指。视情连线有关苏木乡镇（街道）防指进行动员部署。</w:t>
            </w:r>
          </w:p>
          <w:p w14:paraId="42184DB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（2）旗防指有关领导带班，旗防办实行24小时“领导带班+加强型值班+应急备班”防汛值班。密切监视汛情、旱情、灾情变化，做好抢险物资队伍准备，视情向事发地派出工作组、专家组，指导防汛抗旱工作。</w:t>
            </w:r>
          </w:p>
          <w:p w14:paraId="281A0A45">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（3）旗防指成员单位按照职能分工做好相关工作，按要求向旗防办报告工作动态。</w:t>
            </w:r>
          </w:p>
          <w:p w14:paraId="186C2507">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（4）事发地苏木乡镇（街道）防指按要求向旗防办报告水旱灾害发展态势及工作动态，突发灾情、险情随时报告。</w:t>
            </w:r>
          </w:p>
        </w:tc>
        <w:tc>
          <w:tcPr>
            <w:tcW w:w="455" w:type="pct"/>
            <w:noWrap/>
            <w:vAlign w:val="center"/>
          </w:tcPr>
          <w:p w14:paraId="070B757E">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旗防指常务副指挥签发启动</w:t>
            </w:r>
          </w:p>
        </w:tc>
      </w:tr>
      <w:tr w14:paraId="7CE4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noWrap/>
            <w:vAlign w:val="center"/>
          </w:tcPr>
          <w:p w14:paraId="355FC082">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Ⅱ级</w:t>
            </w:r>
          </w:p>
          <w:p w14:paraId="5A673385">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（橙色）</w:t>
            </w:r>
          </w:p>
        </w:tc>
        <w:tc>
          <w:tcPr>
            <w:tcW w:w="1086" w:type="pct"/>
            <w:noWrap/>
            <w:vAlign w:val="center"/>
          </w:tcPr>
          <w:p w14:paraId="5890B5CB">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（1）气象、水利、自然资源等部门发布暴雨、洪水、地质灾害橙色预警信号，旗防指已启动预警响应。</w:t>
            </w:r>
          </w:p>
          <w:p w14:paraId="13D00487">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（2）位置重要的水库大坝、堤防、闸涵等防洪工程出现重大险情，小型水库出现垮坝。</w:t>
            </w:r>
          </w:p>
          <w:p w14:paraId="20571C6B">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（3）500平方公里规模以上主要防洪河道的重要河段出现洪水、接近保证水位。</w:t>
            </w:r>
          </w:p>
          <w:p w14:paraId="735755D9">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（4）主要防洪河道一般河段及主要支流堤防发生决口。</w:t>
            </w:r>
          </w:p>
          <w:p w14:paraId="0D957DAD">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（5）发生区域性严重洪涝灾害。</w:t>
            </w:r>
          </w:p>
          <w:p w14:paraId="24BE40A3">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（6）洪涝灾害严重危及人民群众生命和财产安全。</w:t>
            </w:r>
          </w:p>
          <w:p w14:paraId="18A33D3E">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（7）自治区防指和市防指发布与克旗有关的防汛应急响应。</w:t>
            </w:r>
          </w:p>
        </w:tc>
        <w:tc>
          <w:tcPr>
            <w:tcW w:w="865" w:type="pct"/>
            <w:noWrap/>
            <w:vAlign w:val="center"/>
          </w:tcPr>
          <w:p w14:paraId="55ACCED3">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（1）全旗农作物受旱面积占播种面积大于50%、小于或等于80%，或牧业旱期连续天数春秋季50</w:t>
            </w:r>
            <w:r>
              <w:rPr>
                <w:rFonts w:hint="eastAsia" w:ascii="仿宋_GB2312" w:hAnsi="仿宋_GB2312" w:eastAsia="仿宋_GB2312" w:cs="仿宋_GB2312"/>
                <w:kern w:val="0"/>
                <w:sz w:val="22"/>
                <w:szCs w:val="22"/>
                <w:lang w:eastAsia="zh-CN"/>
              </w:rPr>
              <w:t>～</w:t>
            </w:r>
            <w:r>
              <w:rPr>
                <w:rFonts w:hint="eastAsia" w:ascii="仿宋_GB2312" w:hAnsi="仿宋_GB2312" w:eastAsia="仿宋_GB2312" w:cs="仿宋_GB2312"/>
                <w:kern w:val="0"/>
                <w:sz w:val="22"/>
                <w:szCs w:val="22"/>
              </w:rPr>
              <w:t>59天、夏季40</w:t>
            </w:r>
            <w:r>
              <w:rPr>
                <w:rFonts w:hint="eastAsia" w:ascii="仿宋_GB2312" w:hAnsi="仿宋_GB2312" w:eastAsia="仿宋_GB2312" w:cs="仿宋_GB2312"/>
                <w:kern w:val="0"/>
                <w:sz w:val="22"/>
                <w:szCs w:val="22"/>
                <w:lang w:eastAsia="zh-CN"/>
              </w:rPr>
              <w:t>～</w:t>
            </w:r>
            <w:r>
              <w:rPr>
                <w:rFonts w:hint="eastAsia" w:ascii="仿宋_GB2312" w:hAnsi="仿宋_GB2312" w:eastAsia="仿宋_GB2312" w:cs="仿宋_GB2312"/>
                <w:kern w:val="0"/>
                <w:sz w:val="22"/>
                <w:szCs w:val="22"/>
              </w:rPr>
              <w:t>49天。</w:t>
            </w:r>
          </w:p>
          <w:p w14:paraId="09C129C4">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（2）因旱造成饮水困难人口占全旗总人口比例大于20%、小于或等于30%。</w:t>
            </w:r>
          </w:p>
          <w:p w14:paraId="735B2A90">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（3）连续15天城市供水保障率小于或等于85%。</w:t>
            </w:r>
          </w:p>
          <w:p w14:paraId="1E947172">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（4）其他专项预案中需要启动抗旱Ⅱ级响应的情况。</w:t>
            </w:r>
          </w:p>
        </w:tc>
        <w:tc>
          <w:tcPr>
            <w:tcW w:w="560" w:type="pct"/>
            <w:noWrap/>
            <w:vAlign w:val="center"/>
          </w:tcPr>
          <w:p w14:paraId="3B582E90">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旗防办提出启动应急响应建议→旗防指常务副指挥审核→旗防指指挥长批准→紧急情况下由旗防指指挥长决定→旗防办通知旗防指领导和各成员单位，并负责网上发布。</w:t>
            </w:r>
          </w:p>
        </w:tc>
        <w:tc>
          <w:tcPr>
            <w:tcW w:w="1782" w:type="pct"/>
            <w:noWrap/>
            <w:vAlign w:val="center"/>
          </w:tcPr>
          <w:p w14:paraId="4D5ABAE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旗防指指挥长或委托常务副指挥长主持会商，旗防指成员单位参加，分析研判汛情、旱情、灾情发展态势，部署防汛工作，明确工作目标、重点和措施，并将情况报旗委、旗政府和市防指。视情连线有关旗县防指进行联防联动和统一动员部署。</w:t>
            </w:r>
          </w:p>
          <w:p w14:paraId="10F018D4">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旗防指副指挥长带班，旗防办实行24小时“领导带班+加强型值班+应急备班”防汛值班，有关成员单位负责人全部在岗带班，密切监视汛情、险情、旱情、灾情变化，做好抢险物资和队伍准备，视情向事发地派工作组、专家组，指导防汛抗旱工作。对于因旱饮水困难地区，启动抗旱应急水源，组织抗旱服务队拉水送水，确保人民群众饮水安全。</w:t>
            </w:r>
          </w:p>
          <w:p w14:paraId="178772AA">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（3）旗防指成员单位按照职能分工做好相关工作，按要求向旗防指报告工作动态。</w:t>
            </w:r>
          </w:p>
          <w:p w14:paraId="16936D6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（4）事发地苏木乡镇（街道）防指向旗防指报告水旱灾害发展态势及工作动态，突发灾情、险情及时报告。视汛情、险情、灾情发展，可依法宣布受影响区域进入紧急防汛期。</w:t>
            </w:r>
          </w:p>
          <w:p w14:paraId="277D9F4B">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（5）必要时提请市防指向灾害发生地派工作组或专家组指导工作。</w:t>
            </w:r>
          </w:p>
          <w:p w14:paraId="365C8F1F">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（6）驻旗解放军、武警部队、消防救援队伍等视险情、灾情情况投入抗洪抢险救灾。</w:t>
            </w:r>
          </w:p>
        </w:tc>
        <w:tc>
          <w:tcPr>
            <w:tcW w:w="455" w:type="pct"/>
            <w:noWrap/>
            <w:vAlign w:val="center"/>
          </w:tcPr>
          <w:p w14:paraId="4C2CBA08">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旗防指指挥长签发启动</w:t>
            </w:r>
          </w:p>
        </w:tc>
      </w:tr>
      <w:tr w14:paraId="02C9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noWrap/>
            <w:vAlign w:val="center"/>
          </w:tcPr>
          <w:p w14:paraId="5DC655B9">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Ⅰ级</w:t>
            </w:r>
          </w:p>
          <w:p w14:paraId="646B512B">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（红色）</w:t>
            </w:r>
          </w:p>
        </w:tc>
        <w:tc>
          <w:tcPr>
            <w:tcW w:w="1086" w:type="pct"/>
            <w:noWrap/>
            <w:vAlign w:val="center"/>
          </w:tcPr>
          <w:p w14:paraId="6DFD3506">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（1）气象、水利、自然资源等部门发布暴雨、洪水、地质灾害红色预警信号，旗防指已启动预警响应。</w:t>
            </w:r>
          </w:p>
          <w:p w14:paraId="082AE9BC">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（2）流域（区域）性河湖、防洪工程、水库大坝发生特别重大险情，多处区域性骨干防洪工程、主要防洪河道重要河段堤防发生决口，大中型水库、重点小型水库出现垮坝，严重威胁人民生命财产安全。</w:t>
            </w:r>
          </w:p>
          <w:p w14:paraId="33E8133F">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（3）500平方公里规模以上主要防洪河道的重要河段出现超标准洪水。</w:t>
            </w:r>
          </w:p>
          <w:p w14:paraId="02B7455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（4）发生全旗性严重洪涝灾害。</w:t>
            </w:r>
          </w:p>
          <w:p w14:paraId="0CDEBE16">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（5）自治区防指和市防指发布与克旗有关的防汛应急响应。</w:t>
            </w:r>
          </w:p>
        </w:tc>
        <w:tc>
          <w:tcPr>
            <w:tcW w:w="865" w:type="pct"/>
            <w:noWrap/>
            <w:vAlign w:val="center"/>
          </w:tcPr>
          <w:p w14:paraId="03681D1B">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（1）经棚镇城区干旱缺水率超过25%，或四个以上苏木乡镇（街道）所在地发生供水危机。</w:t>
            </w:r>
          </w:p>
          <w:p w14:paraId="7085F19D">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（2）全旗农作物受旱面积超过耕地面积80%，同时重旱面积超过耕地面积30%；或草牧场受旱面积超过草场面积80%，同时重旱面积超过草场面积30%。</w:t>
            </w:r>
          </w:p>
          <w:p w14:paraId="44F0BD95">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（3）因旱造成农村牧区临时性饮水困难人口占总人口数的30%以上。</w:t>
            </w:r>
          </w:p>
        </w:tc>
        <w:tc>
          <w:tcPr>
            <w:tcW w:w="560" w:type="pct"/>
            <w:noWrap/>
            <w:vAlign w:val="center"/>
          </w:tcPr>
          <w:p w14:paraId="20D267C6">
            <w:pPr>
              <w:adjustRightInd w:val="0"/>
              <w:snapToGrid w:val="0"/>
              <w:spacing w:line="240" w:lineRule="atLeast"/>
              <w:ind w:firstLine="440"/>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旗防办提出启动应急响应建议→旗防指指挥长审核→旗政府批准→紧急情况下由旗政府决定→旗防办通知旗防指领导和各成员单位，并负责网上发布。</w:t>
            </w:r>
          </w:p>
        </w:tc>
        <w:tc>
          <w:tcPr>
            <w:tcW w:w="1782" w:type="pct"/>
            <w:noWrap/>
            <w:vAlign w:val="center"/>
          </w:tcPr>
          <w:p w14:paraId="1D6AA9E4">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1）旗防指指挥长主持会商，旗防指成员单位参加，分析研判汛情发展态势，提出工作目标，重点对策措施，部署防汛应急和抢险救灾工作，并将情况报旗委、旗政府、市防指和市政府。组织召开防汛应急会议，进行紧急动员部署。旗政府办公室发出紧急通知，要求全旗全力做好防汛工作。报经旗委、旗政府主要领导同意，宣布全旗或部分区域进入紧急防汛期。采取停工、停产、停业、停课、停运等措施，因特殊原因暂时不能停工停产的企业，要及时向旗防指报备，并做好应急防范措施。成立现场指挥部靠前指挥，向灾害发生地派工作组、专家组指导工作。</w:t>
            </w:r>
          </w:p>
          <w:p w14:paraId="7CB414B1">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（2）旗防指指挥长坐镇指挥，副指挥长带班，旗防办实行24小时防汛抗旱值班，有关成员单位负责人在岗带班，密切监视汛情、旱情、灾情变化，做好抢险物资队伍准备。</w:t>
            </w:r>
          </w:p>
          <w:p w14:paraId="060FEA15">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（3）旗防指成员单位按照职能分工做好相关工作，按要求向旗防指报告工作动态。</w:t>
            </w:r>
          </w:p>
          <w:p w14:paraId="20DDA593">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（4）事发地苏木乡镇（街道）防指按要求向旗防指报告水旱灾害发展态势及工作动态，突发灾情、险情及时报告。依法宣布本地进入紧急防汛期。</w:t>
            </w:r>
          </w:p>
          <w:p w14:paraId="4A785802">
            <w:pPr>
              <w:adjustRightInd w:val="0"/>
              <w:snapToGrid w:val="0"/>
              <w:spacing w:line="240" w:lineRule="atLeast"/>
              <w:ind w:firstLine="440"/>
              <w:jc w:val="lef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（5）驻旗解放军、武警部队、消防救援队伍等视险情、灾情情况投入抗洪抢险救灾。</w:t>
            </w:r>
          </w:p>
        </w:tc>
        <w:tc>
          <w:tcPr>
            <w:tcW w:w="455" w:type="pct"/>
            <w:noWrap/>
            <w:vAlign w:val="center"/>
          </w:tcPr>
          <w:p w14:paraId="6A793E1F">
            <w:pPr>
              <w:adjustRightInd w:val="0"/>
              <w:snapToGrid w:val="0"/>
              <w:spacing w:line="240" w:lineRule="atLeast"/>
              <w:ind w:firstLine="0" w:firstLineChars="0"/>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旗防指指挥长提出，经旗政府同意后，签发启动</w:t>
            </w:r>
          </w:p>
        </w:tc>
      </w:tr>
    </w:tbl>
    <w:p w14:paraId="49A9D96A">
      <w:pPr>
        <w:ind w:firstLine="640"/>
        <w:jc w:val="center"/>
        <w:rPr>
          <w:rFonts w:ascii="宋体" w:hAnsi="宋体"/>
          <w:bCs/>
          <w:sz w:val="32"/>
          <w:szCs w:val="32"/>
        </w:rPr>
      </w:pPr>
      <w:r>
        <w:rPr>
          <w:rFonts w:hint="eastAsia" w:ascii="宋体" w:hAnsi="宋体"/>
          <w:bCs/>
          <w:sz w:val="32"/>
          <w:szCs w:val="32"/>
        </w:rPr>
        <w:br w:type="page"/>
      </w:r>
    </w:p>
    <w:p w14:paraId="621AAB8C">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58" w:name="_Toc20872"/>
      <w:r>
        <w:rPr>
          <w:rFonts w:hint="eastAsia" w:ascii="仿宋_GB2312" w:hAnsi="仿宋_GB2312" w:eastAsia="仿宋_GB2312" w:cs="仿宋_GB2312"/>
          <w:b w:val="0"/>
          <w:bCs/>
          <w:sz w:val="32"/>
          <w:szCs w:val="32"/>
        </w:rPr>
        <w:t>附表3：旗河流特征值统计表</w:t>
      </w:r>
      <w:bookmarkEnd w:id="658"/>
    </w:p>
    <w:p w14:paraId="569C14CF">
      <w:pPr>
        <w:pStyle w:val="26"/>
        <w:rPr>
          <w:rFonts w:ascii="宋体" w:hAnsi="宋体" w:eastAsia="宋体" w:cs="宋体"/>
          <w:bCs/>
          <w:color w:val="auto"/>
          <w:sz w:val="32"/>
          <w:szCs w:val="32"/>
          <w:shd w:val="clear" w:color="auto" w:fill="FFFFFF"/>
        </w:rPr>
      </w:pPr>
    </w:p>
    <w:p w14:paraId="38A08B62">
      <w:pPr>
        <w:widowControl/>
        <w:shd w:val="clear" w:color="auto" w:fill="FFFFFF"/>
        <w:adjustRightInd w:val="0"/>
        <w:snapToGrid w:val="0"/>
        <w:ind w:firstLine="880"/>
        <w:jc w:val="center"/>
        <w:rPr>
          <w:rFonts w:hint="eastAsia" w:ascii="方正大标宋简体" w:hAnsi="宋体" w:eastAsia="方正大标宋简体"/>
          <w:bCs/>
          <w:kern w:val="0"/>
          <w:sz w:val="44"/>
          <w:szCs w:val="44"/>
          <w:shd w:val="clear" w:color="auto" w:fill="FFFFFF"/>
        </w:rPr>
      </w:pPr>
      <w:r>
        <w:rPr>
          <w:rFonts w:hint="eastAsia" w:ascii="方正大标宋简体" w:hAnsi="宋体" w:eastAsia="方正大标宋简体"/>
          <w:bCs/>
          <w:kern w:val="0"/>
          <w:sz w:val="44"/>
          <w:szCs w:val="44"/>
          <w:shd w:val="clear" w:color="auto" w:fill="FFFFFF"/>
        </w:rPr>
        <w:t>旗河流特征值统计表</w:t>
      </w:r>
    </w:p>
    <w:tbl>
      <w:tblPr>
        <w:tblStyle w:val="21"/>
        <w:tblW w:w="13020" w:type="dxa"/>
        <w:tblInd w:w="13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8"/>
        <w:gridCol w:w="792"/>
        <w:gridCol w:w="840"/>
        <w:gridCol w:w="930"/>
        <w:gridCol w:w="990"/>
        <w:gridCol w:w="1335"/>
        <w:gridCol w:w="3090"/>
        <w:gridCol w:w="1575"/>
        <w:gridCol w:w="1410"/>
        <w:gridCol w:w="1230"/>
      </w:tblGrid>
      <w:tr w14:paraId="758A2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E04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序号</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FE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流域</w:t>
            </w:r>
            <w:r>
              <w:rPr>
                <w:rFonts w:hint="eastAsia" w:ascii="仿宋_GB2312" w:hAnsi="等线" w:eastAsia="仿宋_GB2312" w:cs="仿宋_GB2312"/>
                <w:b/>
                <w:bCs/>
                <w:i w:val="0"/>
                <w:iCs w:val="0"/>
                <w:color w:val="000000"/>
                <w:kern w:val="0"/>
                <w:sz w:val="18"/>
                <w:szCs w:val="18"/>
                <w:u w:val="none"/>
                <w:lang w:val="en-US" w:eastAsia="zh-CN" w:bidi="ar"/>
              </w:rPr>
              <w:br w:type="textWrapping"/>
            </w:r>
            <w:r>
              <w:rPr>
                <w:rFonts w:hint="eastAsia" w:ascii="仿宋_GB2312" w:hAnsi="等线" w:eastAsia="仿宋_GB2312" w:cs="仿宋_GB2312"/>
                <w:b/>
                <w:bCs/>
                <w:i w:val="0"/>
                <w:iCs w:val="0"/>
                <w:color w:val="000000"/>
                <w:kern w:val="0"/>
                <w:sz w:val="18"/>
                <w:szCs w:val="18"/>
                <w:u w:val="none"/>
                <w:lang w:val="en-US" w:eastAsia="zh-CN" w:bidi="ar"/>
              </w:rPr>
              <w:t>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F6F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河流名称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EDD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境内</w:t>
            </w:r>
            <w:r>
              <w:rPr>
                <w:rFonts w:hint="eastAsia" w:ascii="仿宋_GB2312" w:hAnsi="等线" w:eastAsia="仿宋_GB2312" w:cs="仿宋_GB2312"/>
                <w:b/>
                <w:bCs/>
                <w:i w:val="0"/>
                <w:iCs w:val="0"/>
                <w:color w:val="000000"/>
                <w:kern w:val="0"/>
                <w:sz w:val="18"/>
                <w:szCs w:val="18"/>
                <w:u w:val="none"/>
                <w:lang w:val="en-US" w:eastAsia="zh-CN" w:bidi="ar"/>
              </w:rPr>
              <w:br w:type="textWrapping"/>
            </w:r>
            <w:r>
              <w:rPr>
                <w:rFonts w:hint="eastAsia" w:ascii="仿宋_GB2312" w:hAnsi="等线" w:eastAsia="仿宋_GB2312" w:cs="仿宋_GB2312"/>
                <w:b/>
                <w:bCs/>
                <w:i w:val="0"/>
                <w:iCs w:val="0"/>
                <w:color w:val="000000"/>
                <w:kern w:val="0"/>
                <w:sz w:val="18"/>
                <w:szCs w:val="18"/>
                <w:u w:val="none"/>
                <w:lang w:val="en-US" w:eastAsia="zh-CN" w:bidi="ar"/>
              </w:rPr>
              <w:t>长度</w:t>
            </w:r>
            <w:r>
              <w:rPr>
                <w:rFonts w:hint="eastAsia" w:ascii="仿宋_GB2312" w:hAnsi="等线" w:eastAsia="仿宋_GB2312" w:cs="仿宋_GB2312"/>
                <w:b/>
                <w:bCs/>
                <w:i w:val="0"/>
                <w:iCs w:val="0"/>
                <w:color w:val="000000"/>
                <w:kern w:val="0"/>
                <w:sz w:val="18"/>
                <w:szCs w:val="18"/>
                <w:u w:val="none"/>
                <w:lang w:val="en-US" w:eastAsia="zh-CN" w:bidi="ar"/>
              </w:rPr>
              <w:br w:type="textWrapping"/>
            </w:r>
            <w:r>
              <w:rPr>
                <w:rFonts w:hint="eastAsia" w:ascii="仿宋_GB2312" w:hAnsi="等线" w:eastAsia="仿宋_GB2312" w:cs="仿宋_GB2312"/>
                <w:b/>
                <w:bCs/>
                <w:i w:val="0"/>
                <w:iCs w:val="0"/>
                <w:color w:val="000000"/>
                <w:kern w:val="0"/>
                <w:sz w:val="18"/>
                <w:szCs w:val="18"/>
                <w:u w:val="none"/>
                <w:lang w:val="en-US" w:eastAsia="zh-CN" w:bidi="ar"/>
              </w:rPr>
              <w:t>（km)</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0F6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克旗境内流域面积</w:t>
            </w:r>
            <w:r>
              <w:rPr>
                <w:rFonts w:hint="eastAsia" w:ascii="仿宋_GB2312" w:hAnsi="等线" w:eastAsia="仿宋_GB2312" w:cs="仿宋_GB2312"/>
                <w:b/>
                <w:bCs/>
                <w:i w:val="0"/>
                <w:iCs w:val="0"/>
                <w:color w:val="000000"/>
                <w:kern w:val="0"/>
                <w:sz w:val="18"/>
                <w:szCs w:val="18"/>
                <w:u w:val="none"/>
                <w:lang w:val="en-US" w:eastAsia="zh-CN" w:bidi="ar"/>
              </w:rPr>
              <w:br w:type="textWrapping"/>
            </w:r>
            <w:r>
              <w:rPr>
                <w:rFonts w:hint="eastAsia" w:ascii="仿宋_GB2312" w:hAnsi="等线" w:eastAsia="仿宋_GB2312" w:cs="仿宋_GB2312"/>
                <w:b/>
                <w:bCs/>
                <w:i w:val="0"/>
                <w:iCs w:val="0"/>
                <w:color w:val="000000"/>
                <w:kern w:val="0"/>
                <w:sz w:val="18"/>
                <w:szCs w:val="18"/>
                <w:u w:val="none"/>
                <w:lang w:val="en-US" w:eastAsia="zh-CN" w:bidi="ar"/>
              </w:rPr>
              <w:t>(k㎡)</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5D8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河流发源地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E7B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河流流经区域及汇入地</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2E8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流经苏木乡镇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319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重要水利设施</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CF1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b/>
                <w:bCs/>
                <w:i w:val="0"/>
                <w:iCs w:val="0"/>
                <w:color w:val="000000"/>
                <w:sz w:val="18"/>
                <w:szCs w:val="18"/>
                <w:u w:val="none"/>
              </w:rPr>
            </w:pPr>
            <w:r>
              <w:rPr>
                <w:rFonts w:hint="eastAsia" w:ascii="仿宋_GB2312" w:hAnsi="等线" w:eastAsia="仿宋_GB2312" w:cs="仿宋_GB2312"/>
                <w:b/>
                <w:bCs/>
                <w:i w:val="0"/>
                <w:iCs w:val="0"/>
                <w:color w:val="000000"/>
                <w:kern w:val="0"/>
                <w:sz w:val="18"/>
                <w:szCs w:val="18"/>
                <w:u w:val="none"/>
                <w:lang w:val="en-US" w:eastAsia="zh-CN" w:bidi="ar"/>
              </w:rPr>
              <w:t>备注</w:t>
            </w:r>
          </w:p>
        </w:tc>
      </w:tr>
      <w:tr w14:paraId="6C060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DF7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7C9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辽河流域辽河水系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AD8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西拉木伦河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681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217.476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29B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11360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3D0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红山子乡天太永村水泉梁</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A16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流经土城子镇哈巴其拉村后进入翁牛特旗、林西县、巴林右旗、阿鲁科尔沁</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旗，于翁牛特旗与奈曼旗交界处与老哈河汇合成为西辽河。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49A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红山子乡、乌兰布统苏木、浩来呼热苏木、经棚镇、芝瑞镇、万合永镇、土城子镇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B2B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left"/>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建有上湾子I级、Ⅱ级、大石门、胡家湾、</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龙口、龙尾水库电站，燕窝铺电站；五一水闸、浩来呼热萨岭水文站；上陈营子段五级护岸3.209km</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B10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5A1D6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C55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A0B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CC4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百岔河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E0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148.883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A9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1555.3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C62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河北省围场县北曼店林场</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6D8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流经芝瑞镇马架子村、上柜村、兴华村、合胜村、永兴村，万合永镇大河村、广义村、万德成村，经上陈营子组汇入西拉木伦河。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4E6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DCD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1B7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发源于河北省围场县</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北曼店林场</w:t>
            </w:r>
          </w:p>
        </w:tc>
      </w:tr>
      <w:tr w14:paraId="3A21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080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A0CA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E1A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苇塘河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B3C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98.943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99D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 xml:space="preserve">1432.00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F48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新开地乡新开地村下斯楞沟西南曼甸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2E5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流经新开地乡新开地村、高地村、双山子村、苇塘河村，土城子镇瓦房村、土城子村、五台山村、哈巴其拉村，在青水口汇入西拉木伦河。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22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新开地乡、土城子镇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58F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603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克旗、翁旗界河</w:t>
            </w:r>
          </w:p>
        </w:tc>
      </w:tr>
      <w:tr w14:paraId="0997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FB1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F00A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76B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嘎斯汰河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E5E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89.257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FEF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1275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9D3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同兴镇四义号村西南山麓（黄岗梁）</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F69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流经同兴镇四义号村、同兴村、义成永村，宇宙地镇刘营子村、东升村、永隆村，经巴林边进入林西县、巴林右旗后汇入查干木伦河。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9F0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2DE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建有黄岗梁水库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A2C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66395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7D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5176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7D8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碧流河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ACF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53.337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89D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 xml:space="preserve">1033.00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3F8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经棚镇常善村十地组西北山麓（黄岗梁）</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3CE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流经经棚镇常善村、昌兴村、光明村、红星村、河南店村后汇入西拉木伦河。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A81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B46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经棚镇碧柳河堤防工程（二级堤防）</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115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FFD3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943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9E76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D97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墩墩昆墩河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C6A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92.208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C48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780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C6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芝瑞镇上头地村水头组西南曼甸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A2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流经芝瑞镇上头地村、新开地乡新道梁村、广华村、土城子镇铁营子村、太平村、十里铺村、哈巴其拉村，在下哈巴其拉组汇入苇塘河。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BFE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芝瑞镇、新开地乡、土城子镇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BF6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5级护岸10.095Km，</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4级堤防0.57km。</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CC4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9DC1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AA4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0EAE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A54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沙里漠河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F03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42.073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CCC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707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E5A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浩来呼热苏木浩来呼热嘎查东南沙地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1F7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流经浩来呼热苏木浩来呼热嘎查、布敦山嘎查后汇入西拉木伦河。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32A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浩来呼热苏木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B87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建有响水水库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D76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A2A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0E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D5A3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B7C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多伦河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9B0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49.759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289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479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D82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达来诺日镇官地嘎查官地组东北山麓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034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流经达来诺日镇官地嘎查、经棚镇永胜村、庆国村、庆华村、河东村后汇入碧流河。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6E6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经棚镇、达莱诺日镇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EA9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F8E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8736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599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EC3B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080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塔其沟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A78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48.069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226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458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C4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芝瑞镇大兴永村羊场沟脑</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96D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流经芝瑞镇大兴永村、广兴源村、富盛永村、在马架子组汇入西拉木伦河。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7C2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B5A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建有台子店水库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D92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B077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386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1A6A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B93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苇莲沟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630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64.818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0ED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EA4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芝瑞镇大院村大坝岐组西南曼甸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31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流经芝瑞镇大院村、长胜村、永兴村，在苇莲沟门汇入百岔河。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97C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60A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068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229E5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E8E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F628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CF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肯肯沟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F1D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36.431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4F8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375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9B5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宇宙地镇很黑村当中营子组西北的黄岗梁山麓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CC8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流经宇宙地镇很黑村、新地村、刘营子村，在村部西北汇入嘎斯汰河。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6E7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35D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DD0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FF79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26F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D69F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B61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敖包郭勒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1F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52.267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EB2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375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E4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达来诺日镇白音珠日和嘎查星星塔拉东北沙地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D17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流经达来诺日镇白音珠日和嘎查、罕达罕嘎查后汇入贡格尔河。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D8F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C34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C90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904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AFC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D5E9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FC3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怀都坤兑河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71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71.643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DAE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BC0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芝瑞镇上头地村北部曼甸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32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流经芝瑞镇上头地村、下头地村、土城子镇天义号村、天保同村，</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在新地组汇入墩墩昆墩河。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633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7E6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66B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511A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631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2E79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4E7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鲍家沟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EFF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43.644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5D2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7CB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红山子乡天太永村东北山麓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6E7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流经红山子乡天太永村，在天太永组汇入西拉木伦河。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8EF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08B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F51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24984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731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308E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3F2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哈拉海沟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71E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33.576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BF3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291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39E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万合永镇新井村西北山麓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FF0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流经万合永镇新井村、中心村、永明村，在肖家园子汇入西拉木伦河。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48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351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A9C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A642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77D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69B0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CDE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墨林沟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787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42.276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539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260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C64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达来诺日镇白音珠日和嘎查东南山麓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6B3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流经达来诺日镇白音珠日和嘎查、罕达罕嘎查、托力嘎查后汇入贡格尔河。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B5E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016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66E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1713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A3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D2C9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456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大克头河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F6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42.753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F18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219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90A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红山子乡永合村上伙房组西南山麓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9DF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流经红山子乡永合村、大浩来图村、福盛号村，在六棵树组汇入西拉木伦河。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4D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B3C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AAE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3468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4D5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FF9E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辽河流域辽河水系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B47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莫河里沟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36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6.797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F46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B81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红山子乡双合旺村西北沙地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0C0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流经红山子乡双合旺村、浩来呼热苏木布敦山嘎查后汇入沙里漠河。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11E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红山子乡、浩来呼热苏木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A16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6B5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0718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96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1231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C7A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梅林赫吐沟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69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35.568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EC6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A57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芝瑞镇永丰村张家梁梅林赫吐沟脑</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686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流经芝瑞镇永丰村、联合村、先锋村，在宗家店组汇入西拉木伦河。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3D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729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B64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D520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F61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2F95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34C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小克头河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371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25.09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E8B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068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红山子乡小浩来图村老窝铺沟里</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3D3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流经红山子乡小浩来图村、福盛号村，在沟门组汇入西拉木伦河。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6A4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61D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E9B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D6B5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102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21D5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708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银钉扣河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0AE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35.77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92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D5D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红山子乡双合旺村大局子林场东南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B5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流经红山子乡双河旺村、天太永村，在小河子汇入西拉木伦河。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690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726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7CE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37FB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710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93D7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FE6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巴尔汰河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4F6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20.28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823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29F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同兴镇安乐村夏营子西南山麓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90A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流经同兴镇安乐村、天合园村，在小营盘进入林西县，汇入查干木伦河。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202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25E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5A7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1200C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640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8D6E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1C6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坤兑岭沟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EC0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29.186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B79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C3A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芝瑞镇华兴村莲花山曼甸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13F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流经芝瑞镇华兴村、合胜村，在三义号组汇入百岔河。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EB6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933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D83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164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E7F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EC65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31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莫胡芦沟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50B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13C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F9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宇宙地镇大营子村石匠山组西北山麓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A99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流经宇宙地镇大营子村，在大窝铺组转向林西县后汇入嘎斯汰河。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E01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656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982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克旗、林西县界河，外流河</w:t>
            </w:r>
          </w:p>
        </w:tc>
      </w:tr>
      <w:tr w14:paraId="63254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530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9CF4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F8F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大托河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89B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42.116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BA8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CDE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万合永镇兴盛义村沟脑组西北山麓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F9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流经万合永镇兴盛义村、柳林村，在边家营子汇入西拉木伦河。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4B3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A47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9F4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6251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83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E000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D17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小托河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88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23.568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74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441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万合永镇兴盛义村张家营子以南山麓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0BB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流经万合永镇兴盛义村，在杨家沟门组汇入西拉木伦河。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69C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95E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604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E079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2AD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67F1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229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古鲁板吐鲁河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52C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33.619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527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66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土城子镇五星村东南曼甸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92B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流经土城子镇五星村、万合永镇二地村、万德成村，在上二地组汇入百岔河。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E8E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土城子镇、万合永镇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C36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0FD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3ADE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79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4032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A4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大牛其沟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BDE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22.45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F16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FF8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同兴镇同兴村王营子组西南山麓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E65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流经同兴镇同兴村，在前学房组汇入嘎斯汰河。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7FB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D4B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A85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B541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A5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427A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DD1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胡北吐沟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6DD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34.514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03A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67C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经棚镇呼必图村王八盖子山</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99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流经经棚镇呼必图村、万合永镇浩来村，在小河口汇入西拉木伦河。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FFC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A47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0CC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E88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799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481B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CD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密剑沟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E72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20.374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113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D4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经棚镇合意村沟脑组东南山麓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09A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流经经棚镇合意村、红星村、光明村，在新庙组汇入碧流河。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191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0FF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D24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0AAD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497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F928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0F1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蛤蟆坝沟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96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23.934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702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D1D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红山子乡天太永村桦木沟西南山麓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B8E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流经红山子乡天太永村，在永义成组汇入鲍家沟。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E2E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5D3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桦木沟水库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CDE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2EF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A4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0CF2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E10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莫力沟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9F0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9.638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8B1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D38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河北省承德市围场县北部山麓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A7A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流经芝瑞镇马架子村，在头道沟门组汇入百岔河。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F54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CF6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94B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发源于河北省承德市围场县北部山麓</w:t>
            </w:r>
          </w:p>
        </w:tc>
      </w:tr>
      <w:tr w14:paraId="6B097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A89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365D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125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西沟（浩来）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A04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19.061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10F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98.2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4F6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万合永镇浩来村马营子东北山麓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B4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流经万合永镇浩来村后汇入西拉木伦河。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C5F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911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04A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5959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718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EAD5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9DD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安长沟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4D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18.062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66C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96.9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CC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芝瑞镇永丰村大院组东北山麓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DA5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流经芝瑞镇永丰村、广兴源村，在柳林组汇入塔其沟。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F56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2A3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9D2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D860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C73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BB9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147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将军泡子河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143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18.767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603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0BA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乌兰布统苏木孤山子嘎查孤山子独贵龙以西曼甸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71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流经乌兰布统苏木孤山子嘎查、小红山子嘎查，贯穿野鸭湖、将军泡子湖，汇入西拉木伦河。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84B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A81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C17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C20A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23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E714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12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沃勒吉吐郭勒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3A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22.067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0F8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89.3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C3B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达来诺日镇哈达英格嘎查东北山麓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E6E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流经达来诺日镇白音珠日和嘎查，在白音敖包汇入敖包郭勒。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CE3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4D5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40B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C077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EDC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37</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952E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辽河流域辽河水系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EF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老鹞子窝沟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24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9.287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F49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88.6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1E8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同兴镇河南营子村水泉组西北山麓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E0F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流经同兴镇河南营子村后进入林西县汇入巴尔汰河。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0F0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B3D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A32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56B64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D0E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06C5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C9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白音板沟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61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23.289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761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86.3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623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万合永镇河沿村上果家营子组西北山麓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3A4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流经万合永镇河沿村，在下营子组汇入西拉木伦河。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969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ACD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1F6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117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3FD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3116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A2D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阿流比流河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AFA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35.031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133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299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达来诺日镇白音珠日和嘎查二道石门东北山麓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D65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流经白音珠日和嘎查，在白音敖包（云杉酒店）汇入敖包郭勒。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5A4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949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AAE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2BD82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560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6847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4B7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透风沟营子河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A9E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9.143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D6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83.7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FFF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乌兰布统苏木元宝山嘎查境内公主湖</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5DE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流经乌兰布统苏木元宝山嘎查、葫芦诺日嘎查，透风沟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15F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A62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CC0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714A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DCF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3A92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BE8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太极沟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3EF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17.002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EE3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82.9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1FA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经棚镇昌兴村石岗子东北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FCC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流经经棚镇昌兴村，在昌兴组汇入碧流河。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C00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57F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069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753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5A0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5A9C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3B0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敖包河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607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15.237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889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80.6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989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同兴镇努其宫村陆家窝铺组西北山麓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D13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流经同兴镇努其宫村、同兴村，在敖包组汇入嘎斯汰河。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054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E0B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386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18A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5E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8CEE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1F4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塔布朗沟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A7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20.488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BB9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74.1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A8A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红山子乡双合旺村塔布朗沟脑</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ABF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流经红山子乡双河旺村、浩来呼热布敦山嘎查，红山子乡小浩来图村，在三叉口以北汇入小克头河。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565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红山子乡、浩来呼热苏木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F36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F82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91B6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0B1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0E14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924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大营子河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D60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14.532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1BA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302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万合永镇中心村石门子沟</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1F5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流经万合永镇大营子村后汇入哈拉海沟。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827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0A9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976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717D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FAB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9D62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C79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大城河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330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20.753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93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73.8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754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经棚镇庆华村二八地组西北山麓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B06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流经经棚镇庆华村、河东村后汇入多伦河。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FE4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871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5D0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135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51E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46BD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F0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头地河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D4B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17.773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4AD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73.2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827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经棚镇庆国村上二地组东北山麓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7AB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流经经棚镇庆国村，在头地组汇入多伦河。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975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D78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6A1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379C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F8E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9C07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0D5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张古太河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6CC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18.327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8E1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90E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芝瑞镇马架子村局子组西北山麓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242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流经芝瑞镇马架子村，在夏营子汇入百岔河。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BF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8A7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119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3FEB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980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F92D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C9D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萨岭沟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CE3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20.329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0CF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69.1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E86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芝瑞镇萨仁沟村同太号组西南山麓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53A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流经芝瑞镇萨仁沟村、富盛永村，在吴营子汇入塔其沟。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C27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7B3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9C3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1266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AB8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37E1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54C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胡士哈吐沟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D71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21.555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BF3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68.8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FC9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万合永浩来村东北山麓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FCC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流经万合永镇浩来村、关东车村，在东窑组汇入西拉木伦河，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66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90C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0C0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664C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8D0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8C45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784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小碧柳沟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DA6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15.005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EF0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67.9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182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经棚镇昌兴村二道营子西北山麓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2E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流经经棚镇昌兴村、光明村，在仁和营子汇入碧流河。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C1E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FB1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E9D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68DD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867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579C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949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常胜沟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E3C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25.869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97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62.9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8EE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芝瑞镇兴华村上小井组曼甸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466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流经芝瑞镇兴华村、长胜村，在常胜村部汇入苇莲沟。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05F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DCB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BDA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733E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DBD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D3AD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51D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十二道沟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9DA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24.009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DA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61.9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49A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新开地乡新开地村东窝铺组西北曼甸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F4C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流经新开地乡新开地村、双山子村、高地村、红石砬村、土城子镇瓦房村，在孙营子组汇入苇塘河。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AE3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新开地乡、土城子镇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699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D90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FCD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6F5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7B75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2A6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土布袋沟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A32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16.875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BE7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60.8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2DD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万合永镇永明村老窝铺组西北山麓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CF1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流经万合永镇永明村后汇入哈拉海沟。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16A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D5F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C8F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02CD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C34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47FC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F38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乌牛吐沟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BBE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13.828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96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60.6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E74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芝瑞镇广兴源村小西天西南山麓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3D2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流经芝瑞镇广兴源村，在二地组汇入塔其沟。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8CF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48A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DAF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ECE0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FA6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D1E8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40E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二道沟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4B1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14.353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E3D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60.1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2A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芝瑞镇上柜村西北曼甸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B4F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流经芝瑞镇上柜村、兴华村，在村部处汇入百岔河。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8C8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691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090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2211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360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56</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E63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辽河流域辽河水系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C0E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乃林沟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683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18.963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75F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58.9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160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宇宙地镇新地村上局子组西北山麓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F08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流经宇宙地镇新地村，在下河套组汇入肯肯沟。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B8E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1D7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EFD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7E7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DB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71F1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972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烧锅地河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DE0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16.421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AF1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58.7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1CF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宇宙地镇三地村代青沟组西北山麓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184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流经宇宙地镇三地村、热水塘街道、宇宙地镇很黑村，在天合永组汇入肯肯沟。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FCD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热水塘街道管理办公室</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8D1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四级堤防1.8公里</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F1B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C9AA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25F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E717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300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局子沟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0D9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19.289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94F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57.6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CC4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红山子乡大浩来图村局子组东南山麓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44E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流经红山子乡大浩来图村，在敖包组汇入大克头河。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EFF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15A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7E2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7FC2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1C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7EF3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631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海斯台沟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1D7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14.228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793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57.5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33B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同兴镇四义号村南沟组西北山麓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91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流经同兴镇四义号村，经沟门组汇入嘎斯汰河。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677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FF8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3DA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FF0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FB8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E459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9D5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莫伦沟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B2B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23.346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CC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57.4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F26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达来诺日镇白音珠日和嘎查东南山麓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91C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流经达来诺日镇白音珠日和嘎查、罕达罕嘎查后汇入墨林沟。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AE5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7C3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FE1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DF4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E8A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FF7E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7A0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怀都坤兑左支河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BA3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14.575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9B8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55.3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1BE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芝瑞镇下头地村西南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579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流经芝瑞镇下头地村、土城子镇乌兰哈吉盖村、天义号村，在下沟门组汇入怀都坤兑河。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EB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43A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79A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253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F60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7E68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5AB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杨树沟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0E5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15.689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92E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49.7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3CA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宇宙地镇东升村三窝铺组西北山麓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EA0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流经宇宙地镇东升村，在安营子组汇入嘎斯汰河。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EFC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027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878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5552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4DB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E54F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C8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柳条沟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5CD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11.436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CBE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48.1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975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经棚镇永胜村五地组西北山麓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8C9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流经经棚镇永胜村，在头地组汇入多伦河。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7A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351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F7F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441C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AAB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EBB8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615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小银钉扣沟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AE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11.769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90D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47.7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4A8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红山子乡天太永村小局子以东山麓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3BF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流经红山子乡天太永村，在三道坎汇入鲍家沟。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943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030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D5D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5BE2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F1D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0527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AC0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德力班齐沟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94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18.554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0FF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46.8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969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万合永镇兴盛义村于营子西南山麓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733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流经万合永镇兴盛义村，在杨家沟门汇入小托河。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D37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619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169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C60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C77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0B9B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BD8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西乃木呆沟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889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13.074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479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46.3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014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宇宙地镇刘营子村大营子组南部锥子山</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2F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流经宇宙地镇刘营子村，在下坎组汇入肯肯沟。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A6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A09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320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9B7B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C3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F920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167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土城子沟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E3A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17.087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AAA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44.3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FEC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土城子镇五分地村西沟组西南山麓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3FF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流经土城子镇五分地村、土城子村后汇入苇塘河。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A08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土城子镇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8F6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DAE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8FDC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EDC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BFB9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C3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小骡子沟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9F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15.864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DDC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93F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经棚镇联丰村西南山麓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AC7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流经经棚镇联丰村，在燕窝铺汇入西拉木伦河。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4F1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467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2C8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6DFF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96D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ED02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668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小牛其沟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7FA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15.238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DAC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40.6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5AB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同兴镇同兴村孟家营子东北山麓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55C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流经同兴镇同兴村后汇入嘎斯汰河。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0A7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4F3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5EC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C135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7C4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0F99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87C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西沟</w:t>
            </w:r>
            <w:r>
              <w:rPr>
                <w:rFonts w:hint="eastAsia" w:ascii="仿宋_GB2312" w:hAnsi="等线" w:eastAsia="仿宋_GB2312" w:cs="仿宋_GB2312"/>
                <w:i w:val="0"/>
                <w:iCs w:val="0"/>
                <w:color w:val="000000"/>
                <w:kern w:val="0"/>
                <w:sz w:val="18"/>
                <w:szCs w:val="18"/>
                <w:u w:val="none"/>
                <w:lang w:val="en-US" w:eastAsia="zh-CN" w:bidi="ar"/>
              </w:rPr>
              <w:br w:type="textWrapping"/>
            </w:r>
            <w:r>
              <w:rPr>
                <w:rFonts w:hint="eastAsia" w:ascii="仿宋_GB2312" w:hAnsi="等线" w:eastAsia="仿宋_GB2312" w:cs="仿宋_GB2312"/>
                <w:i w:val="0"/>
                <w:iCs w:val="0"/>
                <w:color w:val="000000"/>
                <w:kern w:val="0"/>
                <w:sz w:val="18"/>
                <w:szCs w:val="18"/>
                <w:u w:val="none"/>
                <w:lang w:val="en-US" w:eastAsia="zh-CN" w:bidi="ar"/>
              </w:rPr>
              <w:t>（联合西沟）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21D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10.686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5B9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40.4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DA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芝瑞镇联合村西沟门组东南山麓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EBF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流经芝瑞镇联合村，在铁匠营子组汇入梅林赫吐沟。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EE4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60F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9B6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30ED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5A4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CAC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077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小耗来沟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5F2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15.692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8F2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39.8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D2E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万合永镇兴盛义村广发号组西南山麓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457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流经万合永镇兴盛义村、柳林村，在桥头营子汇入西拉木伦河。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938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925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B60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09F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4A8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D7C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D8C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西大沟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E53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10.993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24D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673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万合永镇浩来村账房沟以北山麓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A52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流经万合永镇浩来村，在河东营子汇入西沟。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963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万合永镇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9B8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6DD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61DE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F0F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90F1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23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乌布查沟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FC95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12.727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9BF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C75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芝瑞镇合胜村四道沟组西南曼甸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0D7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流经芝瑞镇合胜村，在炒米房组汇入坤兑岭沟。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BDB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917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EB7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9241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CC2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0982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EF9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半截子沟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82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17.203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9E6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2C5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达来诺日镇白音珠日和嘎查额日格图东南山麓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4ED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流经达来诺日镇白音珠日和嘎查，在额日格图汇入墨林沟。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FF5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955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717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5E84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1BC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75</w:t>
            </w:r>
          </w:p>
        </w:tc>
        <w:tc>
          <w:tcPr>
            <w:tcW w:w="792" w:type="dxa"/>
            <w:vMerge w:val="restart"/>
            <w:tcBorders>
              <w:top w:val="nil"/>
              <w:left w:val="single" w:color="000000" w:sz="4" w:space="0"/>
              <w:bottom w:val="single" w:color="000000" w:sz="4" w:space="0"/>
              <w:right w:val="single" w:color="000000" w:sz="4" w:space="0"/>
            </w:tcBorders>
            <w:shd w:val="clear" w:color="auto" w:fill="auto"/>
            <w:vAlign w:val="center"/>
          </w:tcPr>
          <w:p w14:paraId="4C5B8E2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辽河流域辽河水系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188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把林刹拉沟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BAE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9.805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405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DF2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同兴镇安乐村巴林萨拉沟里组西南山麓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19C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流经同兴镇安乐村，在大营子组汇入巴尔汰河。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980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8BC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CC7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0BAC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2A8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76</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607F06D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060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小克头河左支河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335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15.211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16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35.5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DAC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红山子乡小浩来图村西南山麓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B57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流经红山子乡小浩来图村，在三岔口汇入小克头河。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46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14B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33C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F861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2CB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77</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163EBC7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90F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大柳条子沟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0DD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10.809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7AE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34.1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566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芝瑞镇上贵村肖家店组东南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031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流经芝瑞镇上贵村，在沟门组汇入百岔河。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7F8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C30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122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36DA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665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78</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64EF4E5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755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乌梁苏台沟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BCE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10.728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9F7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33.7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750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宇宙地镇新地村河西组西南山麓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214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流经宇宙地镇新地村，在申营子组汇入肯肯沟。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1D4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58D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E55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C8AE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D96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79</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40018EA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2A3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八古台沟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007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12.927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52C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32.1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325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红山子乡天太永村八古台沟脑</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57F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流经红山子乡天太永村，在高营子组汇入鲍家沟。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795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红山子乡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541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FD3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A2B0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B28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80</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41D1355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5CF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克里木汰河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FF7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10.282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E0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DBB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宇宙地镇新地村八地组西南鸡冠子山</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BE1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流经宇宙地镇新地村，在二地组汇入肯肯沟。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4ED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7AC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F18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2F46E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CCE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81</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37E5FB5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DCB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永兴西沟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D93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7.682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A0A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FD4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芝瑞镇永兴村西沟组西南山麓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D68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流经芝瑞镇永兴村，在高营子组汇入百岔河。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90E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3BA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D8B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8954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E13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82</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5FFF570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AEF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哈石吐沟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617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12.811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99A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21.4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4E4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芝瑞镇先锋村边墙组东南山麓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A36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流经芝瑞镇先锋村后汇入梅林赫吐沟。</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1FA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芝瑞镇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107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21E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8CEC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8DA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83</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3484ED9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64C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王安池沟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932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4.511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DD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3D2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宇宙地镇刘营子村东南山麓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A09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流经宇宙地镇刘营子村，在赵家营子跨界进入林西县后汇入嘎斯汰河。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E23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宇宙地镇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8FE2">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D9B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0D893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EA9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84</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2049CF9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69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塔布台沟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132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9.079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E72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11.29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149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经棚镇红星村西北山麓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3D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流经经棚镇红星村，在下瓦窑汇入碧流河。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512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72E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C3E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D5DD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AAF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85</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0F19CF2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C5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榆树头沟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1AD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6.675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13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10.23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9F1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经棚镇光明村四地组西北山麓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540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流经经棚镇光明村，在榆树头沟门汇入碧流河。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718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F24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ADB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225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EE3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86</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5B2D9D3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5BF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瓦窑沟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B63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5.092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567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8.38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CA4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经棚镇光明村西北山麓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F5E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流经经棚镇光明村，在瓦窑沟门汇入碧流河。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4EF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经棚镇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C66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68C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E347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CD5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87</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73523B6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471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前敖包河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78F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4CC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6.23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252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巴彦查干珠日和嘎查东南山麓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F9B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流经巴彦查干珠日和嘎查后进入林西县，汇入巴尔汰河。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14C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39F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EDA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58FEB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639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88</w:t>
            </w:r>
          </w:p>
        </w:tc>
        <w:tc>
          <w:tcPr>
            <w:tcW w:w="792" w:type="dxa"/>
            <w:vMerge w:val="continue"/>
            <w:tcBorders>
              <w:top w:val="nil"/>
              <w:left w:val="single" w:color="000000" w:sz="4" w:space="0"/>
              <w:bottom w:val="single" w:color="000000" w:sz="4" w:space="0"/>
              <w:right w:val="single" w:color="000000" w:sz="4" w:space="0"/>
            </w:tcBorders>
            <w:shd w:val="clear" w:color="auto" w:fill="auto"/>
            <w:vAlign w:val="center"/>
          </w:tcPr>
          <w:p w14:paraId="505BAA0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2EB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嘎叉河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F7C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2.69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116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AB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同兴镇河南营子村毛盖吐组东南山麓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37D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流经同兴镇河南营子村，在毛盖吐组进入林西县后汇入嘎斯汰河。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28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同兴镇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670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4DD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355FE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5C8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89</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1918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海河流域滦河及冀东沿海诸河水系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EA7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吐力根河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08C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104.406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B38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370.7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ABC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河北省围场县北曼甸林场八道沟</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782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流经乌兰布统苏木孤山子嘎查、浩斯敖包嘎查后进入锡林郭勒盟多伦县，在大河口乡汇入滦河。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FCF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2A7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418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发源于河北省围场县北曼甸林场八道沟，外流河。</w:t>
            </w:r>
          </w:p>
        </w:tc>
      </w:tr>
      <w:tr w14:paraId="672B7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E70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514E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060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照格都尔河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577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23.694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6A9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368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A8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锡林郭勒盟多伦县东北部沙地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713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流经乌兰布统苏木浩斯敖包嘎查后在多伦县汇入吐力根河。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722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079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7AC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发源于锡林郭勒盟多伦县东北部沙地，克旗与多伦县界河，外流河。</w:t>
            </w:r>
          </w:p>
        </w:tc>
      </w:tr>
      <w:tr w14:paraId="0BCA1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5B6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0284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EC9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马排子河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9A9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32.504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72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C8E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乌兰布统苏木浩斯敖包嘎查东北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B21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流经乌兰布统苏木浩斯敖包嘎查后汇入照格都尔河。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F22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438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5A4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AFE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92E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11AC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8A7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北沟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67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12.26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E27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45.6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AE9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乌兰布统苏木孤山子嘎查连营独贵龙西北曼甸</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106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流经乌兰布统苏木孤山子嘎查，在红松独贵龙汇入吐力根河。</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01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乌兰布统苏木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0BA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A40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897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060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93</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4363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内流区诸河流域内蒙古高原内流区水系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9C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伊和吉林郭勒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020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175.239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D87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 xml:space="preserve">1552.00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ACE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巴彦查干苏木吉力嘎查平顶林子西山麓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EC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流经巴彦查干苏木吉日嘎查、恩格尔宝力格嘎查、必留太嘎查、巴彦查干嘎查、都希也图嘎查、乌布拉格嘎查、呼和希勒嘎查、乌套海嘎查后进入锡林郭勒盟，在东乌珠穆沁旗注入必其格特陶勒盖洼地。</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5EB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243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E4A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73360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BF5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8514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5C9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贡格尔河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6F8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206.803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5DF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 xml:space="preserve">1379.30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B42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巴彦查干苏木吉日嘎查</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FDF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流经巴彦查干苏木吉日嘎查、达来诺日镇白音珠日和嘎查、托里嘎查、哈达英格嘎查、岗更嘎查、达日罕乌拉苏木巴彦锡勒嘎查、贵恩格日嘎查、达来嘎查后注入达里诺尔。</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469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巴彦查干苏木、达日罕乌拉苏木、达来诺日镇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3B3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建有五道石门水库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7E9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D63E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49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C64D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6E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套林郭勒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C3F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70.59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21A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1170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69C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达来诺日镇官地嘎查东北山麓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F48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流经达来诺日镇官地、达根诺日、罕达罕、托力、岗更嘎查注入岗更诺尔后，经达日罕乌拉苏木巴彦锡勒、达根诺日、达来嘎查注入达里诺尔。</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8CF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达来诺日镇、达日罕乌拉苏木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EED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7A8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河源至罕达罕嘎查段已于多年前自然干涸，无明显河道痕，现状为自然生长草木覆盖；托力至岗更诺尔河段、岗更诺尔至达里诺尔河段河道清晰。</w:t>
            </w:r>
          </w:p>
        </w:tc>
      </w:tr>
      <w:tr w14:paraId="6A7C1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F3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42F9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197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巴嘎吉林郭勒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9C5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81.869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84B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629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FB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巴彦查干苏木巴彦乌拉嘎查东南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419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流经巴彦查干苏木巴彦乌拉嘎查、珠日和嘎查、巴彦高勒嘎查后进入锡林郭勒盟西乌珠穆沁旗汇入伊和吉林郭勒。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841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A74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BAE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6D4B6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9F3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002F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B44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沃布拉格郭勒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0AA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66.946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70B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420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428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巴彦查干苏木乌宝力格嘎查东北山麓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9C2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流经巴彦查干苏木乌宝力格嘎查、巴彦查干嘎查，汇入伊和吉林郭勒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B59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85B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F79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FC89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B55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78A7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070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央森郭勒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08C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20.121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49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413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9BE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达日罕乌拉苏木那日斯嘎查西北沙地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E52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流经达日罕乌拉苏木那日斯嘎查、多若诺日嘎查后注入达里诺尔。</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63A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达日罕乌拉苏木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19B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F9A5">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3D9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9F6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B263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C8E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锡林郭勒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D14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51.838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B98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411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11D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巴彦查干苏木哈登布拉格嘎查宝尔图西南山顶</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E47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流经巴彦查干苏木哈登布拉格嘎查、达日罕乌拉苏木乌拉苏太嘎查后进入锡林浩特市注入查干诺尔，继续向东北汇入伊和吉林郭勒。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293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巴彦查干苏木、达日罕乌拉苏木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BBA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7AF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49188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48E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17C1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0BF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阿哈塔日嘎郭勒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63F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28.767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BCA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53.5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E6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巴彦查干苏木珠日和嘎查东南山麓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673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流经巴彦查干苏木珠日和嘎查、巴彦高勒嘎查后进入西乌珠穆沁旗汇入巴嘎吉林郭勒。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32B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470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6AB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4AB4B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9FC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563C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DB0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海流特沟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AC1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1.587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396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160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F92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巴彦查干苏木白音查干嘎查西北山麓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D3D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流经巴彦查干苏木白音查干嘎查后进入西乌珠穆沁旗汇入伊和吉林郭勒。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4F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433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98E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0CC7B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D96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A787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136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毛力亨郭勒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3B1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25.882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947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302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巴彦查干苏木巴彦宝力格嘎查东南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361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流经巴彦查干苏木巴彦宝力格嘎查，汇入伊和吉林郭勒。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C18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B13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32A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72DF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FF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751F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E82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助力可河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AC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35.064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831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FC7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巴彦查干苏木珠日和嘎查东南山麓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CF7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流经巴彦查干苏木珠日和嘎查，汇入巴嘎吉林郭勒。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74C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410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1D1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735AA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6DB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E3DE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863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南沟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585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18.354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9D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21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达日罕乌拉苏木乌拉苏太嘎查东南沙地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E69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流经达日罕乌拉苏木乌拉苏太嘎查，在欧其敖包组汇入锡林郭勒。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3A1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达日罕乌拉苏木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1D9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948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2169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B91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AAD9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ABB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浩来郭勒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49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7.313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F6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76.7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18E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发源于锡林浩特市东南沙地后注入岗更诺尔</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5A1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达里诺尔西南河口</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4EF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达日罕乌拉苏木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8B8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AC3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发源于锡林浩特市。连通岗更诺尔与达里诺尔，号称世界上最窄的河流。</w:t>
            </w:r>
          </w:p>
        </w:tc>
      </w:tr>
      <w:tr w14:paraId="4641C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23D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81D6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2C2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霍比乌苏河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EF1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17.752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954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75.4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D06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巴彦查干苏木都希也图嘎查东北部</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B8B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流经巴彦查干苏木都希也图嘎查、巴彦查干嘎查，汇入伊和吉林郭勒。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83D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F7D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D61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ACAA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03E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4FF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D5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沃村图儒河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ADD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1.896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617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72.4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C91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锡林浩特市巴彦锡勒东南山麓</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994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流经巴彦查干苏木恩格尔宝力格嘎查后再次进入锡林浩特市汇入锡林郭勒。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09F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340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0FD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发源于锡林浩特市巴彦锡勒东南山麓，外流河。</w:t>
            </w:r>
          </w:p>
        </w:tc>
      </w:tr>
      <w:tr w14:paraId="126F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E8A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108</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3334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内流区诸河流域内蒙古高原内流区水系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481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那仁郭勒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245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17.752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6AE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65.9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13B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巴彦查干苏木都希也图嘎查东南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CA5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流经巴彦查干苏木都希也图嘎查、巴彦查干嘎查，汇入沃布拉格郭勒。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18A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0123">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EDF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D83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6BE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53FA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ACF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海勒斯图布拉格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587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23.452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C25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62.2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16C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巴彦查干苏木都希也图嘎查东南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57A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流经巴彦查干苏木都希也图嘎查，汇入伊和吉林郭勒。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B7E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3DC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A9AB">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14B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6E0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110</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DE99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B24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敖伦诺尔郭勒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DE8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9.515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5D6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61.7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447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巴彦查干苏木吉日嘎查西北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930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流经巴彦查干苏木吉日嘎查，汇入锡林郭勒。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168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554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65F0">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5AA61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C56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111</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0044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8A4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宝洛格斯吐</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FE2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13.684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2A18">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60.8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206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巴彦查干苏木珠日和嘎查西北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71F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流经巴彦查干苏木珠日和嘎查、巴彦高勒嘎查，汇入巴嘎吉林郭勒。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FA5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44D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DA5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1E5BF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1E1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112</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3C0E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4F0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黑勒哈塔沟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9AD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8.088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B21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56.9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4AD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巴彦查干苏木珠日和嘎查东北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1B1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流经巴彦查干苏木珠日和嘎查后进入西乌珠穆沁旗再次转回巴彦高勒嘎查后进入西乌珠穆沁旗，汇入浩日图音郭勒。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F17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FE5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902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外流河</w:t>
            </w:r>
          </w:p>
        </w:tc>
      </w:tr>
      <w:tr w14:paraId="6BA0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9A2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113</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C882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932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大其沟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9E1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12.034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DFD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53.5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02F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巴彦查干苏木巴彦乌拉嘎查西北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9A3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流经巴彦查干苏木巴彦乌拉嘎查、珠日和嘎查、巴彦高勒嘎查，汇入巴嘎吉林郭勒。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27D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2AC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8E3A">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EFF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E7A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114</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3618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820A">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西城子沟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869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12.792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760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40.6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8E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巴彦查干苏木乌宝力格嘎查东北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469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流经乌宝力格嘎查，汇入沃布拉格郭勒。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18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E1C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5621">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18F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EFB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115</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8755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5E2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乌兰布拉格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6EF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10.872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A5A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39.6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A06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巴彦查干苏木乌宝力格嘎查南部</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934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流经巴彦查干苏木乌宝力格嘎查，汇入沃布拉格郭勒。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771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408E">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B7C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327B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480D">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116</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FA44">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F5D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陶高那木乃勒郭勒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F615">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7.759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33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38.5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A65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巴彦查干苏木珠日和嘎查西南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297F">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流经巴彦查干苏木珠日和嘎查、巴彦乌拉嘎查，汇入巴嘎吉林郭勒。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3AD3">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1816">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316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039A8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7269">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117</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3C69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1EC7">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吉胡日台郭勒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97B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19.79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CA4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37.3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F80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巴彦查干苏木乌宝力格嘎查西南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B8D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流经巴彦查干苏木乌宝力格嘎查、吉日嘎查，汇入伊和吉林郭勒。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49CC">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4AE7">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17AF">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6CE65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B4A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118</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CC1D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F68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伊和昭浩郭勒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D04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12.891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45A1">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33.9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BFC0">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巴彦查干苏木乌宝力格嘎查东南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978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流经巴彦查干苏木乌宝力格嘎查，汇入沃布拉格郭勒。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CE5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40ED">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BA1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r w14:paraId="41FCE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CDB2">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119</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801A8">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A8B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珠腊木台郭勒</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2F1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13.282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A7E6">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30.5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E2C4">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巴彦查干苏木恩格尔宝力格嘎查西南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56EB">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流经巴彦查干苏木恩格尔宝力格嘎查、吉日嘎查，汇入伊和吉林郭勒。</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D5CE">
            <w:pPr>
              <w:keepNext w:val="0"/>
              <w:keepLines/>
              <w:pageBreakBefore w:val="0"/>
              <w:widowControl/>
              <w:suppressLineNumbers w:val="0"/>
              <w:kinsoku/>
              <w:wordWrap w:val="0"/>
              <w:overflowPunct/>
              <w:topLinePunct/>
              <w:autoSpaceDE/>
              <w:autoSpaceDN/>
              <w:bidi w:val="0"/>
              <w:adjustRightInd/>
              <w:snapToGrid/>
              <w:spacing w:line="220" w:lineRule="exact"/>
              <w:ind w:firstLine="0" w:firstLineChars="0"/>
              <w:jc w:val="center"/>
              <w:textAlignment w:val="center"/>
              <w:rPr>
                <w:rFonts w:hint="eastAsia" w:ascii="仿宋_GB2312" w:hAnsi="等线" w:eastAsia="仿宋_GB2312" w:cs="仿宋_GB2312"/>
                <w:i w:val="0"/>
                <w:iCs w:val="0"/>
                <w:color w:val="000000"/>
                <w:sz w:val="18"/>
                <w:szCs w:val="18"/>
                <w:u w:val="none"/>
              </w:rPr>
            </w:pPr>
            <w:r>
              <w:rPr>
                <w:rFonts w:hint="eastAsia" w:ascii="仿宋_GB2312" w:hAnsi="等线" w:eastAsia="仿宋_GB2312" w:cs="仿宋_GB2312"/>
                <w:i w:val="0"/>
                <w:iCs w:val="0"/>
                <w:color w:val="000000"/>
                <w:kern w:val="0"/>
                <w:sz w:val="18"/>
                <w:szCs w:val="18"/>
                <w:u w:val="none"/>
                <w:lang w:val="en-US" w:eastAsia="zh-CN" w:bidi="ar"/>
              </w:rPr>
              <w:t>巴彦查干苏木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CDB9">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F33C">
            <w:pPr>
              <w:keepNext w:val="0"/>
              <w:keepLines/>
              <w:pageBreakBefore w:val="0"/>
              <w:widowControl/>
              <w:kinsoku/>
              <w:wordWrap w:val="0"/>
              <w:overflowPunct/>
              <w:topLinePunct/>
              <w:autoSpaceDE/>
              <w:autoSpaceDN/>
              <w:bidi w:val="0"/>
              <w:adjustRightInd/>
              <w:snapToGrid/>
              <w:spacing w:line="220" w:lineRule="exact"/>
              <w:ind w:firstLine="0" w:firstLineChars="0"/>
              <w:jc w:val="center"/>
              <w:rPr>
                <w:rFonts w:hint="eastAsia" w:ascii="仿宋_GB2312" w:hAnsi="等线" w:eastAsia="仿宋_GB2312" w:cs="仿宋_GB2312"/>
                <w:i w:val="0"/>
                <w:iCs w:val="0"/>
                <w:color w:val="000000"/>
                <w:sz w:val="18"/>
                <w:szCs w:val="18"/>
                <w:u w:val="none"/>
              </w:rPr>
            </w:pPr>
          </w:p>
        </w:tc>
      </w:tr>
    </w:tbl>
    <w:p w14:paraId="2D347F22">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ascii="宋体" w:hAnsi="宋体"/>
          <w:bCs/>
          <w:szCs w:val="32"/>
        </w:rPr>
      </w:pPr>
      <w:r>
        <w:rPr>
          <w:rFonts w:hint="eastAsia" w:ascii="宋体" w:hAnsi="宋体"/>
          <w:bCs/>
          <w:szCs w:val="32"/>
        </w:rPr>
        <w:br w:type="page"/>
      </w:r>
      <w:bookmarkStart w:id="659" w:name="_Toc17429"/>
      <w:r>
        <w:rPr>
          <w:rFonts w:hint="eastAsia" w:ascii="仿宋_GB2312" w:hAnsi="仿宋_GB2312" w:eastAsia="仿宋_GB2312" w:cs="仿宋_GB2312"/>
          <w:b w:val="0"/>
          <w:bCs/>
          <w:sz w:val="32"/>
          <w:szCs w:val="32"/>
          <w:lang w:val="en-US" w:eastAsia="zh-CN"/>
        </w:rPr>
        <w:t>附表4：旗湖泊特征值统计表</w:t>
      </w:r>
      <w:bookmarkEnd w:id="659"/>
    </w:p>
    <w:p w14:paraId="4C22E637">
      <w:pPr>
        <w:pStyle w:val="26"/>
        <w:jc w:val="center"/>
        <w:rPr>
          <w:rFonts w:hint="eastAsia" w:ascii="方正大标宋简体" w:eastAsia="方正大标宋简体"/>
          <w:sz w:val="44"/>
          <w:szCs w:val="44"/>
        </w:rPr>
      </w:pPr>
      <w:r>
        <w:rPr>
          <w:rFonts w:hint="eastAsia" w:ascii="方正大标宋简体" w:hAnsi="宋体" w:eastAsia="方正大标宋简体" w:cs="宋体"/>
          <w:bCs/>
          <w:color w:val="auto"/>
          <w:sz w:val="44"/>
          <w:szCs w:val="44"/>
        </w:rPr>
        <w:t>旗湖泊特征值统计表</w:t>
      </w:r>
    </w:p>
    <w:tbl>
      <w:tblPr>
        <w:tblStyle w:val="21"/>
        <w:tblpPr w:leftFromText="180" w:rightFromText="180" w:vertAnchor="text" w:horzAnchor="page" w:tblpX="2677" w:tblpY="303"/>
        <w:tblOverlap w:val="never"/>
        <w:tblW w:w="122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0"/>
        <w:gridCol w:w="1455"/>
        <w:gridCol w:w="1230"/>
        <w:gridCol w:w="1050"/>
        <w:gridCol w:w="1440"/>
        <w:gridCol w:w="870"/>
        <w:gridCol w:w="1890"/>
        <w:gridCol w:w="1305"/>
        <w:gridCol w:w="870"/>
        <w:gridCol w:w="1035"/>
      </w:tblGrid>
      <w:tr w14:paraId="31C6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nil"/>
              <w:right w:val="single" w:color="000000" w:sz="4" w:space="0"/>
            </w:tcBorders>
            <w:shd w:val="clear" w:color="auto" w:fill="auto"/>
            <w:vAlign w:val="center"/>
          </w:tcPr>
          <w:p w14:paraId="3BCBA795">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序号</w:t>
            </w:r>
          </w:p>
        </w:tc>
        <w:tc>
          <w:tcPr>
            <w:tcW w:w="1455" w:type="dxa"/>
            <w:tcBorders>
              <w:top w:val="single" w:color="000000" w:sz="4" w:space="0"/>
              <w:left w:val="single" w:color="000000" w:sz="4" w:space="0"/>
              <w:bottom w:val="nil"/>
              <w:right w:val="single" w:color="000000" w:sz="4" w:space="0"/>
            </w:tcBorders>
            <w:shd w:val="clear" w:color="auto" w:fill="auto"/>
            <w:vAlign w:val="center"/>
          </w:tcPr>
          <w:p w14:paraId="1B9231D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名称</w:t>
            </w:r>
          </w:p>
        </w:tc>
        <w:tc>
          <w:tcPr>
            <w:tcW w:w="1230" w:type="dxa"/>
            <w:tcBorders>
              <w:top w:val="single" w:color="000000" w:sz="4" w:space="0"/>
              <w:left w:val="single" w:color="000000" w:sz="4" w:space="0"/>
              <w:bottom w:val="nil"/>
              <w:right w:val="single" w:color="000000" w:sz="4" w:space="0"/>
            </w:tcBorders>
            <w:shd w:val="clear" w:color="auto" w:fill="auto"/>
            <w:vAlign w:val="center"/>
          </w:tcPr>
          <w:p w14:paraId="6ED75C1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水面面积</w:t>
            </w:r>
            <w:r>
              <w:rPr>
                <w:rFonts w:hint="eastAsia" w:ascii="仿宋_GB2312" w:hAnsi="仿宋_GB2312" w:eastAsia="仿宋_GB2312" w:cs="仿宋_GB2312"/>
                <w:b/>
                <w:bCs/>
                <w:i w:val="0"/>
                <w:iCs w:val="0"/>
                <w:color w:val="000000"/>
                <w:kern w:val="0"/>
                <w:sz w:val="18"/>
                <w:szCs w:val="18"/>
                <w:u w:val="none"/>
                <w:lang w:val="en-US" w:eastAsia="zh-CN" w:bidi="ar"/>
              </w:rPr>
              <w:br w:type="textWrapping"/>
            </w:r>
            <w:r>
              <w:rPr>
                <w:rFonts w:hint="eastAsia" w:ascii="仿宋_GB2312" w:hAnsi="仿宋_GB2312" w:eastAsia="仿宋_GB2312" w:cs="仿宋_GB2312"/>
                <w:b/>
                <w:bCs/>
                <w:i w:val="0"/>
                <w:iCs w:val="0"/>
                <w:color w:val="000000"/>
                <w:kern w:val="0"/>
                <w:sz w:val="18"/>
                <w:szCs w:val="18"/>
                <w:u w:val="none"/>
                <w:lang w:val="en-US" w:eastAsia="zh-CN" w:bidi="ar"/>
              </w:rPr>
              <w:t>(k㎡)</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7C41EA3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管理范围面积</w:t>
            </w:r>
            <w:r>
              <w:rPr>
                <w:rFonts w:hint="eastAsia" w:ascii="仿宋_GB2312" w:hAnsi="仿宋_GB2312" w:eastAsia="仿宋_GB2312" w:cs="仿宋_GB2312"/>
                <w:b/>
                <w:bCs/>
                <w:i w:val="0"/>
                <w:iCs w:val="0"/>
                <w:color w:val="000000"/>
                <w:kern w:val="0"/>
                <w:sz w:val="18"/>
                <w:szCs w:val="18"/>
                <w:u w:val="none"/>
                <w:lang w:val="en-US" w:eastAsia="zh-CN" w:bidi="ar"/>
              </w:rPr>
              <w:br w:type="textWrapping"/>
            </w:r>
            <w:r>
              <w:rPr>
                <w:rFonts w:hint="eastAsia" w:ascii="仿宋_GB2312" w:hAnsi="仿宋_GB2312" w:eastAsia="仿宋_GB2312" w:cs="仿宋_GB2312"/>
                <w:b/>
                <w:bCs/>
                <w:i w:val="0"/>
                <w:iCs w:val="0"/>
                <w:color w:val="000000"/>
                <w:kern w:val="0"/>
                <w:sz w:val="18"/>
                <w:szCs w:val="18"/>
                <w:u w:val="none"/>
                <w:lang w:val="en-US" w:eastAsia="zh-CN" w:bidi="ar"/>
              </w:rPr>
              <w:t>(k㎡)</w:t>
            </w: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6C5CC12A">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划界岸线长度</w:t>
            </w:r>
            <w:r>
              <w:rPr>
                <w:rFonts w:hint="eastAsia" w:ascii="仿宋_GB2312" w:hAnsi="仿宋_GB2312" w:eastAsia="仿宋_GB2312" w:cs="仿宋_GB2312"/>
                <w:b/>
                <w:bCs/>
                <w:i w:val="0"/>
                <w:iCs w:val="0"/>
                <w:color w:val="000000"/>
                <w:kern w:val="0"/>
                <w:sz w:val="18"/>
                <w:szCs w:val="18"/>
                <w:u w:val="none"/>
                <w:lang w:val="en-US" w:eastAsia="zh-CN" w:bidi="ar"/>
              </w:rPr>
              <w:br w:type="textWrapping"/>
            </w:r>
            <w:r>
              <w:rPr>
                <w:rFonts w:hint="eastAsia" w:ascii="仿宋_GB2312" w:hAnsi="仿宋_GB2312" w:eastAsia="仿宋_GB2312" w:cs="仿宋_GB2312"/>
                <w:b/>
                <w:bCs/>
                <w:i w:val="0"/>
                <w:iCs w:val="0"/>
                <w:color w:val="000000"/>
                <w:kern w:val="0"/>
                <w:sz w:val="18"/>
                <w:szCs w:val="18"/>
                <w:u w:val="none"/>
                <w:lang w:val="en-US" w:eastAsia="zh-CN" w:bidi="ar"/>
              </w:rPr>
              <w:t>(km)</w:t>
            </w:r>
          </w:p>
        </w:tc>
        <w:tc>
          <w:tcPr>
            <w:tcW w:w="870" w:type="dxa"/>
            <w:tcBorders>
              <w:top w:val="single" w:color="000000" w:sz="4" w:space="0"/>
              <w:left w:val="single" w:color="000000" w:sz="4" w:space="0"/>
              <w:bottom w:val="nil"/>
              <w:right w:val="single" w:color="000000" w:sz="4" w:space="0"/>
            </w:tcBorders>
            <w:shd w:val="clear" w:color="auto" w:fill="auto"/>
            <w:vAlign w:val="center"/>
          </w:tcPr>
          <w:p w14:paraId="109AF5C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咸淡水属性</w:t>
            </w:r>
          </w:p>
        </w:tc>
        <w:tc>
          <w:tcPr>
            <w:tcW w:w="1890" w:type="dxa"/>
            <w:tcBorders>
              <w:top w:val="single" w:color="000000" w:sz="4" w:space="0"/>
              <w:left w:val="single" w:color="000000" w:sz="4" w:space="0"/>
              <w:bottom w:val="nil"/>
              <w:right w:val="single" w:color="000000" w:sz="4" w:space="0"/>
            </w:tcBorders>
            <w:shd w:val="clear" w:color="auto" w:fill="auto"/>
            <w:vAlign w:val="center"/>
          </w:tcPr>
          <w:p w14:paraId="5F914B0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苏木乡镇</w:t>
            </w:r>
          </w:p>
        </w:tc>
        <w:tc>
          <w:tcPr>
            <w:tcW w:w="1305" w:type="dxa"/>
            <w:tcBorders>
              <w:top w:val="single" w:color="000000" w:sz="4" w:space="0"/>
              <w:left w:val="single" w:color="000000" w:sz="4" w:space="0"/>
              <w:bottom w:val="nil"/>
              <w:right w:val="single" w:color="000000" w:sz="4" w:space="0"/>
            </w:tcBorders>
            <w:shd w:val="clear" w:color="auto" w:fill="auto"/>
            <w:vAlign w:val="center"/>
          </w:tcPr>
          <w:p w14:paraId="50CEEF08">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水系</w:t>
            </w:r>
          </w:p>
        </w:tc>
        <w:tc>
          <w:tcPr>
            <w:tcW w:w="870" w:type="dxa"/>
            <w:tcBorders>
              <w:top w:val="single" w:color="000000" w:sz="4" w:space="0"/>
              <w:left w:val="single" w:color="000000" w:sz="4" w:space="0"/>
              <w:bottom w:val="nil"/>
              <w:right w:val="single" w:color="000000" w:sz="4" w:space="0"/>
            </w:tcBorders>
            <w:shd w:val="clear" w:color="auto" w:fill="auto"/>
            <w:vAlign w:val="center"/>
          </w:tcPr>
          <w:p w14:paraId="44CBD32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水普</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CE93">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备注</w:t>
            </w:r>
          </w:p>
        </w:tc>
      </w:tr>
      <w:tr w14:paraId="3B431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53CE">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29F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达里诺尔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388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197.3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9ED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228.314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999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74.435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93B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咸</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AB65">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达日罕乌拉苏木</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2C9D0">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内流区诸河流域内蒙古高原内流区水系</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A94B">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E50C">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r w14:paraId="4803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DA8F">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A75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多伦诺尔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FC7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0BA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2.03</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D5EF">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6.177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296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3625">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达日罕乌拉苏木</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491BD">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9928">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F6A0">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r w14:paraId="0F4D4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5A2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A047">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岗更诺尔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E0F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2AE8">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36.142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192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37.043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087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69A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达日罕乌拉苏木、达莱诺日镇</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BCAED">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234A">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4C69">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r w14:paraId="3817D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AB9F">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731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蘑菇场泡子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F92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CBA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0.667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FC1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6.046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174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1910">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乌兰布统苏木</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2C3EB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内流区诸河流域内蒙古高原内流区水系</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63D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DEF7">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r w14:paraId="165FF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69C8">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912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小达来诺尔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E08E">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E042">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9F2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暂停划界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FB8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咸</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9E9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达日罕乌拉苏木</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5DE90">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46DA">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1F8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已干涸多年</w:t>
            </w:r>
          </w:p>
        </w:tc>
      </w:tr>
      <w:tr w14:paraId="2DF3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6ECB">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BB1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宝音图诺尔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A43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2.81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ECF9">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047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暂停划界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F29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咸</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4A2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达日罕乌拉苏木</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3CFA3">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60FF">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EA4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已干涸多年</w:t>
            </w:r>
          </w:p>
        </w:tc>
      </w:tr>
      <w:tr w14:paraId="3C05E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2C0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717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柴达木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B3C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6D65">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5475">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暂停划界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D05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咸</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D0EA">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达日罕乌拉苏木</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F5010">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174F">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7DA7">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已干涸多年</w:t>
            </w:r>
          </w:p>
        </w:tc>
      </w:tr>
      <w:tr w14:paraId="0DFA9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EE3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8F67">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大水诺尔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8CC8">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C82C">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EF0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暂停划界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103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3600">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 xml:space="preserve">浩来呼热苏木 </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69BF8">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D14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856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已干涸多年</w:t>
            </w:r>
          </w:p>
        </w:tc>
      </w:tr>
      <w:tr w14:paraId="00FA1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45D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77D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将军泡子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9EA6">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E72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1.099</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DAE8">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5.697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F71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647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乌兰布统苏木</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F367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辽河流域辽河水系</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5D7D">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4268">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r w14:paraId="53394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3E23">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4AC2">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野鸭湖</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691B">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6E25">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1.989</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CDE0">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10.353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975A">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3529">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乌兰布统苏木</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99D4E">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69B1">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FBDE">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r w14:paraId="4872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EBCB">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206E">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公主湖</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778B">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2B23">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0.329</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9F6F">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3.117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808C">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B624">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乌兰布统苏木</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BD8BD">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C10A">
            <w:pPr>
              <w:keepNext w:val="0"/>
              <w:keepLines/>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水普外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8A3B">
            <w:pPr>
              <w:keepNext w:val="0"/>
              <w:keepLines/>
              <w:pageBreakBefore w:val="0"/>
              <w:widowControl/>
              <w:kinsoku/>
              <w:wordWrap/>
              <w:overflowPunct/>
              <w:topLinePunct w:val="0"/>
              <w:autoSpaceDE/>
              <w:autoSpaceDN/>
              <w:bidi w:val="0"/>
              <w:adjustRightInd/>
              <w:snapToGrid/>
              <w:spacing w:line="300" w:lineRule="exact"/>
              <w:ind w:firstLine="0" w:firstLineChars="0"/>
              <w:jc w:val="center"/>
              <w:rPr>
                <w:rFonts w:hint="eastAsia" w:ascii="仿宋_GB2312" w:hAnsi="仿宋_GB2312" w:eastAsia="仿宋_GB2312" w:cs="仿宋_GB2312"/>
                <w:i w:val="0"/>
                <w:iCs w:val="0"/>
                <w:color w:val="000000"/>
                <w:sz w:val="18"/>
                <w:szCs w:val="18"/>
                <w:u w:val="none"/>
              </w:rPr>
            </w:pPr>
          </w:p>
        </w:tc>
      </w:tr>
    </w:tbl>
    <w:p w14:paraId="17807A8F">
      <w:pPr>
        <w:pStyle w:val="26"/>
        <w:snapToGrid w:val="0"/>
        <w:spacing w:line="560" w:lineRule="exact"/>
        <w:ind w:firstLine="640" w:firstLineChars="200"/>
        <w:jc w:val="both"/>
        <w:outlineLvl w:val="3"/>
        <w:rPr>
          <w:rFonts w:ascii="宋体" w:hAnsi="宋体" w:eastAsia="宋体" w:cs="宋体"/>
          <w:bCs/>
          <w:color w:val="auto"/>
          <w:sz w:val="32"/>
          <w:szCs w:val="32"/>
        </w:rPr>
      </w:pPr>
    </w:p>
    <w:p w14:paraId="0EF7D9AF">
      <w:pPr>
        <w:pStyle w:val="26"/>
        <w:snapToGrid w:val="0"/>
        <w:spacing w:line="560" w:lineRule="exact"/>
        <w:ind w:firstLine="640" w:firstLineChars="200"/>
        <w:jc w:val="both"/>
        <w:outlineLvl w:val="3"/>
        <w:rPr>
          <w:rFonts w:ascii="宋体" w:hAnsi="宋体" w:eastAsia="宋体" w:cs="宋体"/>
          <w:bCs/>
          <w:color w:val="auto"/>
          <w:sz w:val="32"/>
          <w:szCs w:val="32"/>
        </w:rPr>
        <w:sectPr>
          <w:pgSz w:w="16838" w:h="11906" w:orient="landscape"/>
          <w:pgMar w:top="1587" w:right="1956" w:bottom="1474" w:left="1843" w:header="851" w:footer="992" w:gutter="0"/>
          <w:cols w:space="425" w:num="1"/>
          <w:docGrid w:type="lines" w:linePitch="312" w:charSpace="0"/>
        </w:sectPr>
      </w:pPr>
    </w:p>
    <w:p w14:paraId="1044D07D">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60" w:name="_Toc24011"/>
      <w:r>
        <w:rPr>
          <w:rFonts w:hint="eastAsia" w:ascii="仿宋_GB2312" w:hAnsi="仿宋_GB2312" w:eastAsia="仿宋_GB2312" w:cs="仿宋_GB2312"/>
          <w:b w:val="0"/>
          <w:bCs/>
          <w:sz w:val="32"/>
          <w:szCs w:val="32"/>
        </w:rPr>
        <w:t>附表5：《旗水库安全度汛明白卡》</w:t>
      </w:r>
      <w:bookmarkEnd w:id="651"/>
      <w:bookmarkEnd w:id="652"/>
      <w:bookmarkEnd w:id="653"/>
      <w:bookmarkEnd w:id="654"/>
      <w:bookmarkEnd w:id="660"/>
    </w:p>
    <w:p w14:paraId="5D6BBFD4">
      <w:pPr>
        <w:spacing w:line="240" w:lineRule="auto"/>
        <w:ind w:firstLine="0" w:firstLineChars="0"/>
        <w:jc w:val="center"/>
        <w:rPr>
          <w:rFonts w:ascii="宋体" w:hAnsi="宋体"/>
          <w:kern w:val="0"/>
          <w:sz w:val="32"/>
          <w:szCs w:val="32"/>
        </w:rPr>
      </w:pPr>
      <w:r>
        <w:rPr>
          <w:rFonts w:hint="eastAsia" w:ascii="宋体" w:hAnsi="宋体"/>
          <w:b/>
          <w:sz w:val="32"/>
          <w:szCs w:val="32"/>
        </w:rPr>
        <w:t>大石门水库</w:t>
      </w:r>
      <w:r>
        <w:rPr>
          <w:rFonts w:hint="eastAsia" w:ascii="宋体" w:hAnsi="宋体"/>
          <w:b/>
          <w:bCs/>
          <w:sz w:val="32"/>
          <w:szCs w:val="32"/>
        </w:rPr>
        <w:t>安全度汛</w:t>
      </w:r>
      <w:r>
        <w:rPr>
          <w:rFonts w:hint="eastAsia" w:ascii="宋体" w:hAnsi="宋体"/>
          <w:b/>
          <w:sz w:val="32"/>
          <w:szCs w:val="32"/>
        </w:rPr>
        <w:t>明白卡</w:t>
      </w:r>
    </w:p>
    <w:tbl>
      <w:tblPr>
        <w:tblStyle w:val="21"/>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503"/>
        <w:gridCol w:w="26"/>
        <w:gridCol w:w="56"/>
        <w:gridCol w:w="297"/>
        <w:gridCol w:w="38"/>
        <w:gridCol w:w="28"/>
        <w:gridCol w:w="1350"/>
        <w:gridCol w:w="910"/>
        <w:gridCol w:w="449"/>
        <w:gridCol w:w="694"/>
        <w:gridCol w:w="829"/>
        <w:gridCol w:w="1184"/>
        <w:gridCol w:w="81"/>
        <w:gridCol w:w="1944"/>
      </w:tblGrid>
      <w:tr w14:paraId="75B2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219" w:type="dxa"/>
            <w:gridSpan w:val="9"/>
            <w:noWrap/>
            <w:vAlign w:val="center"/>
          </w:tcPr>
          <w:p w14:paraId="25635CE7">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81" w:type="dxa"/>
            <w:gridSpan w:val="6"/>
            <w:noWrap/>
            <w:vAlign w:val="center"/>
          </w:tcPr>
          <w:p w14:paraId="605C2A09">
            <w:pPr>
              <w:adjustRightInd w:val="0"/>
              <w:snapToGrid w:val="0"/>
              <w:spacing w:line="240" w:lineRule="auto"/>
              <w:ind w:firstLine="0" w:firstLineChars="0"/>
              <w:rPr>
                <w:rFonts w:ascii="宋体" w:hAnsi="宋体"/>
                <w:szCs w:val="21"/>
              </w:rPr>
            </w:pPr>
            <w:r>
              <w:rPr>
                <w:rFonts w:hint="eastAsia" w:ascii="宋体" w:hAnsi="宋体"/>
                <w:szCs w:val="21"/>
              </w:rPr>
              <w:t>克什克腾旗浩来呼热苏木布墩山嘎查</w:t>
            </w:r>
          </w:p>
        </w:tc>
      </w:tr>
      <w:tr w14:paraId="1D30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59" w:type="dxa"/>
            <w:gridSpan w:val="7"/>
            <w:tcBorders>
              <w:right w:val="single" w:color="auto" w:sz="4" w:space="0"/>
            </w:tcBorders>
            <w:noWrap/>
            <w:vAlign w:val="center"/>
          </w:tcPr>
          <w:p w14:paraId="1DA6C350">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441" w:type="dxa"/>
            <w:gridSpan w:val="8"/>
            <w:tcBorders>
              <w:left w:val="single" w:color="auto" w:sz="4" w:space="0"/>
            </w:tcBorders>
            <w:noWrap/>
            <w:vAlign w:val="center"/>
          </w:tcPr>
          <w:p w14:paraId="303216C5">
            <w:pPr>
              <w:adjustRightInd w:val="0"/>
              <w:snapToGrid w:val="0"/>
              <w:spacing w:line="240" w:lineRule="auto"/>
              <w:ind w:firstLine="0" w:firstLineChars="0"/>
              <w:rPr>
                <w:rFonts w:ascii="宋体" w:hAnsi="宋体"/>
                <w:szCs w:val="21"/>
              </w:rPr>
            </w:pPr>
            <w:r>
              <w:rPr>
                <w:rFonts w:hint="eastAsia" w:ascii="宋体" w:hAnsi="宋体"/>
                <w:szCs w:val="21"/>
              </w:rPr>
              <w:t>工业供水、水力发电、渔业养殖</w:t>
            </w:r>
          </w:p>
        </w:tc>
      </w:tr>
      <w:tr w14:paraId="3489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59" w:type="dxa"/>
            <w:gridSpan w:val="7"/>
            <w:tcBorders>
              <w:right w:val="single" w:color="auto" w:sz="4" w:space="0"/>
            </w:tcBorders>
            <w:noWrap/>
            <w:vAlign w:val="center"/>
          </w:tcPr>
          <w:p w14:paraId="565AE9FA">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260" w:type="dxa"/>
            <w:gridSpan w:val="2"/>
            <w:tcBorders>
              <w:left w:val="single" w:color="auto" w:sz="4" w:space="0"/>
            </w:tcBorders>
            <w:noWrap/>
            <w:vAlign w:val="center"/>
          </w:tcPr>
          <w:p w14:paraId="5204862E">
            <w:pPr>
              <w:adjustRightInd w:val="0"/>
              <w:snapToGrid w:val="0"/>
              <w:spacing w:line="240" w:lineRule="auto"/>
              <w:ind w:firstLine="0" w:firstLineChars="0"/>
              <w:rPr>
                <w:rFonts w:ascii="宋体" w:hAnsi="宋体"/>
                <w:szCs w:val="21"/>
              </w:rPr>
            </w:pPr>
            <w:r>
              <w:rPr>
                <w:rFonts w:hint="eastAsia" w:ascii="宋体" w:hAnsi="宋体"/>
                <w:szCs w:val="21"/>
              </w:rPr>
              <w:t>西拉沐沦河</w:t>
            </w:r>
          </w:p>
        </w:tc>
        <w:tc>
          <w:tcPr>
            <w:tcW w:w="1972" w:type="dxa"/>
            <w:gridSpan w:val="3"/>
            <w:tcBorders>
              <w:top w:val="single" w:color="auto" w:sz="4" w:space="0"/>
              <w:bottom w:val="single" w:color="auto" w:sz="4" w:space="0"/>
              <w:right w:val="single" w:color="auto" w:sz="4" w:space="0"/>
            </w:tcBorders>
            <w:noWrap/>
            <w:vAlign w:val="center"/>
          </w:tcPr>
          <w:p w14:paraId="0AD59961">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09" w:type="dxa"/>
            <w:gridSpan w:val="3"/>
            <w:tcBorders>
              <w:top w:val="single" w:color="auto" w:sz="4" w:space="0"/>
              <w:bottom w:val="single" w:color="auto" w:sz="4" w:space="0"/>
            </w:tcBorders>
            <w:noWrap/>
            <w:vAlign w:val="center"/>
          </w:tcPr>
          <w:p w14:paraId="54646139">
            <w:pPr>
              <w:adjustRightInd w:val="0"/>
              <w:snapToGrid w:val="0"/>
              <w:spacing w:line="240" w:lineRule="auto"/>
              <w:ind w:firstLine="0" w:firstLineChars="0"/>
              <w:rPr>
                <w:rFonts w:ascii="宋体" w:hAnsi="宋体"/>
                <w:szCs w:val="21"/>
              </w:rPr>
            </w:pPr>
            <w:r>
              <w:rPr>
                <w:rFonts w:hint="eastAsia" w:ascii="宋体" w:hAnsi="宋体"/>
                <w:szCs w:val="21"/>
              </w:rPr>
              <w:t>中新能化科技有限公司</w:t>
            </w:r>
          </w:p>
        </w:tc>
      </w:tr>
      <w:tr w14:paraId="5693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959" w:type="dxa"/>
            <w:gridSpan w:val="7"/>
            <w:noWrap/>
            <w:vAlign w:val="center"/>
          </w:tcPr>
          <w:p w14:paraId="6E3321B5">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232" w:type="dxa"/>
            <w:gridSpan w:val="5"/>
            <w:tcBorders>
              <w:right w:val="single" w:color="auto" w:sz="4" w:space="0"/>
            </w:tcBorders>
            <w:noWrap/>
            <w:vAlign w:val="center"/>
          </w:tcPr>
          <w:p w14:paraId="20E7DC1D">
            <w:pPr>
              <w:adjustRightInd w:val="0"/>
              <w:snapToGrid w:val="0"/>
              <w:spacing w:line="240" w:lineRule="auto"/>
              <w:ind w:firstLine="0" w:firstLineChars="0"/>
              <w:rPr>
                <w:rFonts w:ascii="宋体" w:hAnsi="宋体"/>
                <w:szCs w:val="21"/>
              </w:rPr>
            </w:pPr>
            <w:r>
              <w:rPr>
                <w:rFonts w:hint="eastAsia" w:ascii="宋体" w:hAnsi="宋体"/>
                <w:szCs w:val="21"/>
              </w:rPr>
              <w:t>沥青混凝土心墙堆石坝</w:t>
            </w:r>
          </w:p>
        </w:tc>
        <w:tc>
          <w:tcPr>
            <w:tcW w:w="1184" w:type="dxa"/>
            <w:tcBorders>
              <w:left w:val="single" w:color="auto" w:sz="4" w:space="0"/>
              <w:right w:val="single" w:color="auto" w:sz="4" w:space="0"/>
            </w:tcBorders>
            <w:noWrap/>
            <w:vAlign w:val="center"/>
          </w:tcPr>
          <w:p w14:paraId="106742AF">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25" w:type="dxa"/>
            <w:gridSpan w:val="2"/>
            <w:tcBorders>
              <w:left w:val="single" w:color="auto" w:sz="4" w:space="0"/>
            </w:tcBorders>
            <w:noWrap/>
            <w:vAlign w:val="center"/>
          </w:tcPr>
          <w:p w14:paraId="36425426">
            <w:pPr>
              <w:adjustRightInd w:val="0"/>
              <w:snapToGrid w:val="0"/>
              <w:spacing w:line="240" w:lineRule="auto"/>
              <w:ind w:firstLine="0" w:firstLineChars="0"/>
              <w:rPr>
                <w:rFonts w:ascii="宋体" w:hAnsi="宋体"/>
                <w:szCs w:val="21"/>
              </w:rPr>
            </w:pPr>
            <w:r>
              <w:rPr>
                <w:rFonts w:hint="eastAsia" w:ascii="宋体" w:hAnsi="宋体"/>
                <w:szCs w:val="21"/>
              </w:rPr>
              <w:t>203米</w:t>
            </w:r>
          </w:p>
        </w:tc>
      </w:tr>
      <w:tr w14:paraId="3FC3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96" w:type="dxa"/>
            <w:gridSpan w:val="4"/>
            <w:tcBorders>
              <w:right w:val="single" w:color="auto" w:sz="4" w:space="0"/>
            </w:tcBorders>
            <w:noWrap/>
            <w:vAlign w:val="center"/>
          </w:tcPr>
          <w:p w14:paraId="7D352796">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072" w:type="dxa"/>
            <w:gridSpan w:val="6"/>
            <w:tcBorders>
              <w:left w:val="single" w:color="auto" w:sz="4" w:space="0"/>
              <w:right w:val="single" w:color="auto" w:sz="4" w:space="0"/>
            </w:tcBorders>
            <w:noWrap/>
            <w:vAlign w:val="center"/>
          </w:tcPr>
          <w:p w14:paraId="1F4B0484">
            <w:pPr>
              <w:adjustRightInd w:val="0"/>
              <w:snapToGrid w:val="0"/>
              <w:spacing w:line="240" w:lineRule="auto"/>
              <w:ind w:firstLine="0" w:firstLineChars="0"/>
              <w:rPr>
                <w:rFonts w:ascii="宋体" w:hAnsi="宋体"/>
                <w:szCs w:val="21"/>
              </w:rPr>
            </w:pPr>
            <w:r>
              <w:rPr>
                <w:rFonts w:hint="eastAsia" w:ascii="宋体" w:hAnsi="宋体"/>
                <w:szCs w:val="21"/>
              </w:rPr>
              <w:t>1.85亿m³</w:t>
            </w:r>
          </w:p>
        </w:tc>
        <w:tc>
          <w:tcPr>
            <w:tcW w:w="2707" w:type="dxa"/>
            <w:gridSpan w:val="3"/>
            <w:tcBorders>
              <w:left w:val="single" w:color="auto" w:sz="4" w:space="0"/>
              <w:right w:val="single" w:color="auto" w:sz="4" w:space="0"/>
            </w:tcBorders>
            <w:noWrap/>
            <w:vAlign w:val="center"/>
          </w:tcPr>
          <w:p w14:paraId="3A7776BB">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25" w:type="dxa"/>
            <w:gridSpan w:val="2"/>
            <w:tcBorders>
              <w:left w:val="single" w:color="auto" w:sz="4" w:space="0"/>
            </w:tcBorders>
            <w:noWrap/>
            <w:vAlign w:val="center"/>
          </w:tcPr>
          <w:p w14:paraId="0FCC6351">
            <w:pPr>
              <w:adjustRightInd w:val="0"/>
              <w:snapToGrid w:val="0"/>
              <w:spacing w:line="240" w:lineRule="auto"/>
              <w:ind w:firstLine="0" w:firstLineChars="0"/>
              <w:rPr>
                <w:rFonts w:ascii="宋体" w:hAnsi="宋体"/>
                <w:szCs w:val="21"/>
              </w:rPr>
            </w:pPr>
            <w:r>
              <w:rPr>
                <w:rFonts w:hint="eastAsia" w:ascii="宋体" w:hAnsi="宋体"/>
                <w:szCs w:val="21"/>
              </w:rPr>
              <w:t>1072米</w:t>
            </w:r>
          </w:p>
        </w:tc>
      </w:tr>
      <w:tr w14:paraId="28CC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893" w:type="dxa"/>
            <w:gridSpan w:val="5"/>
            <w:noWrap/>
            <w:vAlign w:val="center"/>
          </w:tcPr>
          <w:p w14:paraId="3223AC17">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775" w:type="dxa"/>
            <w:gridSpan w:val="5"/>
            <w:tcBorders>
              <w:right w:val="single" w:color="auto" w:sz="4" w:space="0"/>
            </w:tcBorders>
            <w:noWrap/>
            <w:vAlign w:val="center"/>
          </w:tcPr>
          <w:p w14:paraId="6B81A9DA">
            <w:pPr>
              <w:adjustRightInd w:val="0"/>
              <w:snapToGrid w:val="0"/>
              <w:spacing w:line="240" w:lineRule="auto"/>
              <w:ind w:firstLine="0" w:firstLineChars="0"/>
              <w:rPr>
                <w:rFonts w:ascii="宋体" w:hAnsi="宋体"/>
                <w:szCs w:val="21"/>
              </w:rPr>
            </w:pPr>
            <w:r>
              <w:rPr>
                <w:rFonts w:hint="eastAsia" w:ascii="宋体" w:hAnsi="宋体"/>
                <w:szCs w:val="21"/>
              </w:rPr>
              <w:t>1075.28米</w:t>
            </w:r>
          </w:p>
        </w:tc>
        <w:tc>
          <w:tcPr>
            <w:tcW w:w="2707" w:type="dxa"/>
            <w:gridSpan w:val="3"/>
            <w:tcBorders>
              <w:left w:val="single" w:color="auto" w:sz="4" w:space="0"/>
            </w:tcBorders>
            <w:noWrap/>
            <w:vAlign w:val="center"/>
          </w:tcPr>
          <w:p w14:paraId="2B1AC299">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25" w:type="dxa"/>
            <w:gridSpan w:val="2"/>
            <w:noWrap/>
            <w:vAlign w:val="center"/>
          </w:tcPr>
          <w:p w14:paraId="0947FDCE">
            <w:pPr>
              <w:adjustRightInd w:val="0"/>
              <w:snapToGrid w:val="0"/>
              <w:spacing w:line="240" w:lineRule="auto"/>
              <w:ind w:firstLine="0" w:firstLineChars="0"/>
              <w:rPr>
                <w:rFonts w:ascii="宋体" w:hAnsi="宋体"/>
                <w:szCs w:val="21"/>
              </w:rPr>
            </w:pPr>
            <w:r>
              <w:rPr>
                <w:rFonts w:hint="eastAsia" w:ascii="宋体" w:hAnsi="宋体"/>
                <w:szCs w:val="21"/>
              </w:rPr>
              <w:t>63.78米</w:t>
            </w:r>
          </w:p>
        </w:tc>
      </w:tr>
      <w:tr w14:paraId="48A0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14" w:type="dxa"/>
            <w:gridSpan w:val="2"/>
            <w:tcBorders>
              <w:right w:val="single" w:color="auto" w:sz="4" w:space="0"/>
            </w:tcBorders>
            <w:noWrap/>
            <w:vAlign w:val="center"/>
          </w:tcPr>
          <w:p w14:paraId="758F09A8">
            <w:pPr>
              <w:adjustRightInd w:val="0"/>
              <w:snapToGrid w:val="0"/>
              <w:spacing w:line="240" w:lineRule="auto"/>
              <w:ind w:firstLine="0" w:firstLineChars="0"/>
              <w:rPr>
                <w:rFonts w:ascii="宋体" w:hAnsi="宋体"/>
                <w:szCs w:val="21"/>
              </w:rPr>
            </w:pPr>
            <w:r>
              <w:rPr>
                <w:rFonts w:hint="eastAsia" w:ascii="宋体" w:hAnsi="宋体"/>
                <w:szCs w:val="21"/>
              </w:rPr>
              <w:t>泄洪建筑物</w:t>
            </w:r>
          </w:p>
        </w:tc>
        <w:tc>
          <w:tcPr>
            <w:tcW w:w="7886" w:type="dxa"/>
            <w:gridSpan w:val="13"/>
            <w:tcBorders>
              <w:left w:val="single" w:color="auto" w:sz="4" w:space="0"/>
            </w:tcBorders>
            <w:noWrap/>
            <w:vAlign w:val="center"/>
          </w:tcPr>
          <w:p w14:paraId="084F10CD">
            <w:pPr>
              <w:adjustRightInd w:val="0"/>
              <w:snapToGrid w:val="0"/>
              <w:spacing w:line="240" w:lineRule="auto"/>
              <w:ind w:firstLine="0" w:firstLineChars="0"/>
              <w:rPr>
                <w:rFonts w:ascii="宋体" w:hAnsi="宋体"/>
                <w:szCs w:val="21"/>
              </w:rPr>
            </w:pPr>
            <w:r>
              <w:rPr>
                <w:rFonts w:hint="eastAsia" w:ascii="宋体" w:hAnsi="宋体"/>
                <w:szCs w:val="21"/>
              </w:rPr>
              <w:t>竖井溢洪道 最大下泄流量148m³/s</w:t>
            </w:r>
          </w:p>
        </w:tc>
      </w:tr>
      <w:tr w14:paraId="3C9C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309" w:type="dxa"/>
            <w:gridSpan w:val="8"/>
            <w:tcBorders>
              <w:right w:val="single" w:color="auto" w:sz="4" w:space="0"/>
            </w:tcBorders>
            <w:noWrap/>
            <w:vAlign w:val="center"/>
          </w:tcPr>
          <w:p w14:paraId="4A86C8E8">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53" w:type="dxa"/>
            <w:gridSpan w:val="3"/>
            <w:tcBorders>
              <w:right w:val="single" w:color="auto" w:sz="4" w:space="0"/>
            </w:tcBorders>
            <w:noWrap/>
            <w:vAlign w:val="center"/>
          </w:tcPr>
          <w:p w14:paraId="753C5114">
            <w:pPr>
              <w:adjustRightInd w:val="0"/>
              <w:snapToGrid w:val="0"/>
              <w:spacing w:line="240" w:lineRule="auto"/>
              <w:ind w:firstLine="0" w:firstLineChars="0"/>
              <w:rPr>
                <w:rFonts w:ascii="宋体" w:hAnsi="宋体"/>
                <w:szCs w:val="21"/>
              </w:rPr>
            </w:pPr>
            <w:r>
              <w:rPr>
                <w:rFonts w:hint="eastAsia" w:ascii="宋体" w:hAnsi="宋体"/>
                <w:szCs w:val="21"/>
              </w:rPr>
              <w:t>自动</w:t>
            </w:r>
          </w:p>
        </w:tc>
        <w:tc>
          <w:tcPr>
            <w:tcW w:w="2094" w:type="dxa"/>
            <w:gridSpan w:val="3"/>
            <w:tcBorders>
              <w:right w:val="single" w:color="auto" w:sz="4" w:space="0"/>
            </w:tcBorders>
            <w:noWrap/>
            <w:vAlign w:val="center"/>
          </w:tcPr>
          <w:p w14:paraId="6C0D2ECE">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44" w:type="dxa"/>
            <w:tcBorders>
              <w:left w:val="single" w:color="auto" w:sz="4" w:space="0"/>
            </w:tcBorders>
            <w:noWrap/>
            <w:vAlign w:val="center"/>
          </w:tcPr>
          <w:p w14:paraId="0615E23C">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377D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40" w:type="dxa"/>
            <w:gridSpan w:val="3"/>
            <w:tcBorders>
              <w:top w:val="single" w:color="auto" w:sz="4" w:space="0"/>
              <w:bottom w:val="single" w:color="auto" w:sz="4" w:space="0"/>
              <w:right w:val="single" w:color="auto" w:sz="4" w:space="0"/>
            </w:tcBorders>
            <w:noWrap/>
            <w:vAlign w:val="center"/>
          </w:tcPr>
          <w:p w14:paraId="023C7E9A">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822" w:type="dxa"/>
            <w:gridSpan w:val="8"/>
            <w:noWrap/>
            <w:vAlign w:val="center"/>
          </w:tcPr>
          <w:p w14:paraId="079EE3A4">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38" w:type="dxa"/>
            <w:gridSpan w:val="4"/>
            <w:vMerge w:val="restart"/>
            <w:noWrap/>
            <w:vAlign w:val="center"/>
          </w:tcPr>
          <w:p w14:paraId="12499448">
            <w:pPr>
              <w:adjustRightInd w:val="0"/>
              <w:snapToGrid w:val="0"/>
              <w:spacing w:line="240" w:lineRule="auto"/>
              <w:ind w:firstLine="0" w:firstLineChars="0"/>
              <w:rPr>
                <w:rFonts w:ascii="宋体" w:hAnsi="宋体"/>
                <w:szCs w:val="21"/>
              </w:rPr>
            </w:pPr>
            <w:r>
              <w:rPr>
                <w:rFonts w:hint="eastAsia" w:ascii="宋体" w:hAnsi="宋体"/>
                <w:szCs w:val="21"/>
              </w:rPr>
              <w:t>汛限水位:1071.5米</w:t>
            </w:r>
          </w:p>
        </w:tc>
      </w:tr>
      <w:tr w14:paraId="078D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540" w:type="dxa"/>
            <w:gridSpan w:val="3"/>
            <w:tcBorders>
              <w:top w:val="single" w:color="auto" w:sz="4" w:space="0"/>
              <w:bottom w:val="single" w:color="auto" w:sz="4" w:space="0"/>
              <w:right w:val="single" w:color="auto" w:sz="4" w:space="0"/>
            </w:tcBorders>
            <w:noWrap/>
            <w:vAlign w:val="center"/>
          </w:tcPr>
          <w:p w14:paraId="2073C19C">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822" w:type="dxa"/>
            <w:gridSpan w:val="8"/>
            <w:noWrap/>
            <w:vAlign w:val="center"/>
          </w:tcPr>
          <w:p w14:paraId="0D35F9CE">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8月10日</w:t>
            </w:r>
          </w:p>
        </w:tc>
        <w:tc>
          <w:tcPr>
            <w:tcW w:w="4038" w:type="dxa"/>
            <w:gridSpan w:val="4"/>
            <w:vMerge w:val="continue"/>
            <w:noWrap/>
            <w:vAlign w:val="center"/>
          </w:tcPr>
          <w:p w14:paraId="35DF553C">
            <w:pPr>
              <w:adjustRightInd w:val="0"/>
              <w:snapToGrid w:val="0"/>
              <w:spacing w:line="240" w:lineRule="auto"/>
              <w:ind w:firstLine="0" w:firstLineChars="0"/>
              <w:rPr>
                <w:rFonts w:ascii="宋体" w:hAnsi="宋体"/>
                <w:szCs w:val="21"/>
              </w:rPr>
            </w:pPr>
          </w:p>
        </w:tc>
      </w:tr>
      <w:tr w14:paraId="09A9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exact"/>
          <w:jc w:val="center"/>
        </w:trPr>
        <w:tc>
          <w:tcPr>
            <w:tcW w:w="1011" w:type="dxa"/>
            <w:tcBorders>
              <w:top w:val="single" w:color="auto" w:sz="4" w:space="0"/>
              <w:right w:val="single" w:color="auto" w:sz="4" w:space="0"/>
            </w:tcBorders>
            <w:noWrap/>
            <w:vAlign w:val="center"/>
          </w:tcPr>
          <w:p w14:paraId="5988CF2E">
            <w:pPr>
              <w:adjustRightInd w:val="0"/>
              <w:snapToGrid w:val="0"/>
              <w:spacing w:line="240" w:lineRule="auto"/>
              <w:ind w:firstLine="0" w:firstLineChars="0"/>
              <w:rPr>
                <w:rFonts w:hint="eastAsia" w:ascii="宋体" w:hAnsi="宋体"/>
                <w:szCs w:val="21"/>
              </w:rPr>
            </w:pPr>
            <w:r>
              <w:rPr>
                <w:rFonts w:hint="eastAsia" w:ascii="宋体" w:hAnsi="宋体"/>
                <w:szCs w:val="21"/>
              </w:rPr>
              <w:t>汛期调</w:t>
            </w:r>
          </w:p>
          <w:p w14:paraId="595CF1D1">
            <w:pPr>
              <w:adjustRightInd w:val="0"/>
              <w:snapToGrid w:val="0"/>
              <w:spacing w:line="240" w:lineRule="auto"/>
              <w:ind w:firstLine="0" w:firstLineChars="0"/>
              <w:rPr>
                <w:rFonts w:ascii="宋体" w:hAnsi="宋体"/>
                <w:szCs w:val="21"/>
              </w:rPr>
            </w:pPr>
            <w:r>
              <w:rPr>
                <w:rFonts w:hint="eastAsia" w:ascii="宋体" w:hAnsi="宋体"/>
                <w:szCs w:val="21"/>
              </w:rPr>
              <w:t>度方式</w:t>
            </w:r>
          </w:p>
        </w:tc>
        <w:tc>
          <w:tcPr>
            <w:tcW w:w="8389" w:type="dxa"/>
            <w:gridSpan w:val="14"/>
            <w:tcBorders>
              <w:left w:val="single" w:color="auto" w:sz="4" w:space="0"/>
            </w:tcBorders>
            <w:noWrap/>
            <w:vAlign w:val="center"/>
          </w:tcPr>
          <w:p w14:paraId="1F82849B">
            <w:pPr>
              <w:adjustRightInd w:val="0"/>
              <w:snapToGrid w:val="0"/>
              <w:spacing w:line="240" w:lineRule="auto"/>
              <w:ind w:firstLine="0" w:firstLineChars="0"/>
              <w:rPr>
                <w:rFonts w:ascii="宋体" w:hAnsi="宋体"/>
                <w:szCs w:val="21"/>
              </w:rPr>
            </w:pPr>
            <w:r>
              <w:rPr>
                <w:rFonts w:hint="eastAsia" w:ascii="宋体" w:hAnsi="宋体"/>
                <w:szCs w:val="21"/>
              </w:rPr>
              <w:t>1、当发生百年一遇以下洪水(来水量小于141m³每秒)时，洪水来多少泄多少，全部下泄。</w:t>
            </w:r>
          </w:p>
          <w:p w14:paraId="6FF31AE0">
            <w:pPr>
              <w:adjustRightInd w:val="0"/>
              <w:snapToGrid w:val="0"/>
              <w:spacing w:line="240" w:lineRule="auto"/>
              <w:ind w:firstLine="0" w:firstLineChars="0"/>
              <w:rPr>
                <w:rFonts w:ascii="宋体" w:hAnsi="宋体"/>
                <w:szCs w:val="21"/>
              </w:rPr>
            </w:pPr>
            <w:r>
              <w:rPr>
                <w:rFonts w:hint="eastAsia" w:ascii="宋体" w:hAnsi="宋体"/>
                <w:szCs w:val="21"/>
              </w:rPr>
              <w:t>2、当发生百年一遇以下洪水(来水量为141m³每秒)时，下泄流量按56.6m³每秒控泄。</w:t>
            </w:r>
          </w:p>
          <w:p w14:paraId="7A01C6A2">
            <w:pPr>
              <w:adjustRightInd w:val="0"/>
              <w:snapToGrid w:val="0"/>
              <w:spacing w:line="240" w:lineRule="auto"/>
              <w:ind w:firstLine="0" w:firstLineChars="0"/>
              <w:rPr>
                <w:rFonts w:ascii="宋体" w:hAnsi="宋体"/>
                <w:szCs w:val="21"/>
              </w:rPr>
            </w:pPr>
            <w:r>
              <w:rPr>
                <w:rFonts w:hint="eastAsia" w:ascii="宋体" w:hAnsi="宋体"/>
                <w:szCs w:val="21"/>
              </w:rPr>
              <w:t>3、当发生百年一遇以下洪水(来水量大于141m³每秒)时，溢洪道、输水洞全力泄洪，确保大坝安全。</w:t>
            </w:r>
          </w:p>
          <w:p w14:paraId="0EAF7962">
            <w:pPr>
              <w:adjustRightInd w:val="0"/>
              <w:snapToGrid w:val="0"/>
              <w:spacing w:line="240" w:lineRule="auto"/>
              <w:ind w:firstLine="0" w:firstLineChars="0"/>
              <w:rPr>
                <w:rFonts w:ascii="宋体" w:hAnsi="宋体"/>
                <w:szCs w:val="21"/>
              </w:rPr>
            </w:pPr>
            <w:r>
              <w:rPr>
                <w:rFonts w:hint="eastAsia" w:ascii="宋体" w:hAnsi="宋体"/>
                <w:szCs w:val="21"/>
              </w:rPr>
              <w:t>同时，经主管部门批准后，启动水电站防洪抢险应急预案。</w:t>
            </w:r>
          </w:p>
        </w:tc>
      </w:tr>
      <w:tr w14:paraId="7ECD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31" w:type="dxa"/>
            <w:gridSpan w:val="6"/>
            <w:tcBorders>
              <w:right w:val="single" w:color="auto" w:sz="4" w:space="0"/>
            </w:tcBorders>
            <w:noWrap/>
            <w:vAlign w:val="center"/>
          </w:tcPr>
          <w:p w14:paraId="5112A937">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69" w:type="dxa"/>
            <w:gridSpan w:val="9"/>
            <w:noWrap/>
            <w:vAlign w:val="center"/>
          </w:tcPr>
          <w:p w14:paraId="61EA494D">
            <w:pPr>
              <w:adjustRightInd w:val="0"/>
              <w:snapToGrid w:val="0"/>
              <w:spacing w:line="240" w:lineRule="auto"/>
              <w:ind w:firstLine="0" w:firstLineChars="0"/>
              <w:rPr>
                <w:rFonts w:ascii="宋体" w:hAnsi="宋体"/>
                <w:szCs w:val="21"/>
              </w:rPr>
            </w:pPr>
            <w:r>
              <w:rPr>
                <w:rFonts w:hint="eastAsia" w:ascii="宋体" w:hAnsi="宋体"/>
                <w:szCs w:val="21"/>
              </w:rPr>
              <w:t>水库下游河南营子、胡家湾子电站、龙口电站、芝瑞镇、万合永镇和经棚镇等。</w:t>
            </w:r>
          </w:p>
        </w:tc>
      </w:tr>
    </w:tbl>
    <w:p w14:paraId="35AC0B81">
      <w:pPr>
        <w:spacing w:line="240" w:lineRule="auto"/>
        <w:ind w:firstLine="0" w:firstLineChars="0"/>
        <w:jc w:val="center"/>
        <w:rPr>
          <w:rFonts w:ascii="宋体" w:hAnsi="宋体"/>
          <w:b/>
          <w:sz w:val="32"/>
          <w:szCs w:val="32"/>
        </w:rPr>
      </w:pPr>
    </w:p>
    <w:p w14:paraId="43EB8B37">
      <w:pPr>
        <w:spacing w:line="240" w:lineRule="auto"/>
        <w:ind w:firstLine="0" w:firstLineChars="0"/>
        <w:jc w:val="center"/>
        <w:rPr>
          <w:rFonts w:ascii="宋体" w:hAnsi="宋体"/>
          <w:b/>
          <w:sz w:val="32"/>
          <w:szCs w:val="32"/>
        </w:rPr>
      </w:pPr>
      <w:r>
        <w:rPr>
          <w:rFonts w:hint="eastAsia" w:ascii="宋体" w:hAnsi="宋体"/>
          <w:b/>
          <w:sz w:val="32"/>
          <w:szCs w:val="32"/>
        </w:rPr>
        <w:t>响水水库安全度汛明白卡</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711"/>
        <w:gridCol w:w="47"/>
        <w:gridCol w:w="23"/>
        <w:gridCol w:w="274"/>
        <w:gridCol w:w="39"/>
        <w:gridCol w:w="28"/>
        <w:gridCol w:w="1284"/>
        <w:gridCol w:w="68"/>
        <w:gridCol w:w="1139"/>
        <w:gridCol w:w="233"/>
        <w:gridCol w:w="658"/>
        <w:gridCol w:w="844"/>
        <w:gridCol w:w="1278"/>
        <w:gridCol w:w="1935"/>
      </w:tblGrid>
      <w:tr w14:paraId="70CD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52" w:type="dxa"/>
            <w:gridSpan w:val="10"/>
            <w:noWrap/>
            <w:vAlign w:val="center"/>
          </w:tcPr>
          <w:p w14:paraId="6E9FD09F">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4948" w:type="dxa"/>
            <w:gridSpan w:val="5"/>
            <w:noWrap/>
            <w:vAlign w:val="center"/>
          </w:tcPr>
          <w:p w14:paraId="6B2800F2">
            <w:pPr>
              <w:adjustRightInd w:val="0"/>
              <w:snapToGrid w:val="0"/>
              <w:spacing w:line="240" w:lineRule="auto"/>
              <w:ind w:firstLine="0" w:firstLineChars="0"/>
              <w:rPr>
                <w:rFonts w:ascii="宋体" w:hAnsi="宋体"/>
                <w:szCs w:val="21"/>
              </w:rPr>
            </w:pPr>
            <w:r>
              <w:rPr>
                <w:rFonts w:hint="eastAsia" w:ascii="宋体" w:hAnsi="宋体"/>
                <w:szCs w:val="21"/>
              </w:rPr>
              <w:t>克旗浩来呼热苏木</w:t>
            </w:r>
          </w:p>
        </w:tc>
      </w:tr>
      <w:tr w14:paraId="55F9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61" w:type="dxa"/>
            <w:gridSpan w:val="7"/>
            <w:tcBorders>
              <w:right w:val="single" w:color="auto" w:sz="4" w:space="0"/>
            </w:tcBorders>
            <w:noWrap/>
            <w:vAlign w:val="center"/>
          </w:tcPr>
          <w:p w14:paraId="1A764274">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439" w:type="dxa"/>
            <w:gridSpan w:val="8"/>
            <w:tcBorders>
              <w:left w:val="single" w:color="auto" w:sz="4" w:space="0"/>
            </w:tcBorders>
            <w:noWrap/>
            <w:vAlign w:val="center"/>
          </w:tcPr>
          <w:p w14:paraId="4B5BE32A">
            <w:pPr>
              <w:adjustRightInd w:val="0"/>
              <w:snapToGrid w:val="0"/>
              <w:spacing w:line="240" w:lineRule="auto"/>
              <w:ind w:firstLine="0" w:firstLineChars="0"/>
              <w:rPr>
                <w:rFonts w:ascii="宋体" w:hAnsi="宋体"/>
                <w:szCs w:val="21"/>
              </w:rPr>
            </w:pPr>
            <w:r>
              <w:rPr>
                <w:rFonts w:hint="eastAsia" w:ascii="宋体" w:hAnsi="宋体"/>
                <w:szCs w:val="21"/>
              </w:rPr>
              <w:t>防洪、发电、养殖</w:t>
            </w:r>
          </w:p>
        </w:tc>
      </w:tr>
      <w:tr w14:paraId="095C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61" w:type="dxa"/>
            <w:gridSpan w:val="7"/>
            <w:tcBorders>
              <w:right w:val="single" w:color="auto" w:sz="4" w:space="0"/>
            </w:tcBorders>
            <w:noWrap/>
            <w:vAlign w:val="center"/>
          </w:tcPr>
          <w:p w14:paraId="38301907">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1284" w:type="dxa"/>
            <w:tcBorders>
              <w:left w:val="single" w:color="auto" w:sz="4" w:space="0"/>
            </w:tcBorders>
            <w:noWrap/>
            <w:vAlign w:val="center"/>
          </w:tcPr>
          <w:p w14:paraId="4A7E904F">
            <w:pPr>
              <w:adjustRightInd w:val="0"/>
              <w:snapToGrid w:val="0"/>
              <w:spacing w:line="240" w:lineRule="auto"/>
              <w:ind w:firstLine="0" w:firstLineChars="0"/>
              <w:rPr>
                <w:rFonts w:ascii="宋体" w:hAnsi="宋体"/>
                <w:szCs w:val="21"/>
              </w:rPr>
            </w:pPr>
            <w:r>
              <w:rPr>
                <w:rFonts w:hint="eastAsia" w:ascii="宋体" w:hAnsi="宋体"/>
                <w:szCs w:val="21"/>
              </w:rPr>
              <w:t>沙里漠河</w:t>
            </w:r>
          </w:p>
        </w:tc>
        <w:tc>
          <w:tcPr>
            <w:tcW w:w="2942" w:type="dxa"/>
            <w:gridSpan w:val="5"/>
            <w:tcBorders>
              <w:top w:val="single" w:color="auto" w:sz="4" w:space="0"/>
              <w:bottom w:val="single" w:color="auto" w:sz="4" w:space="0"/>
              <w:right w:val="single" w:color="auto" w:sz="4" w:space="0"/>
            </w:tcBorders>
            <w:noWrap/>
            <w:vAlign w:val="center"/>
          </w:tcPr>
          <w:p w14:paraId="729CCB8B">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13" w:type="dxa"/>
            <w:gridSpan w:val="2"/>
            <w:tcBorders>
              <w:top w:val="single" w:color="auto" w:sz="4" w:space="0"/>
              <w:bottom w:val="single" w:color="auto" w:sz="4" w:space="0"/>
            </w:tcBorders>
            <w:noWrap/>
            <w:vAlign w:val="center"/>
          </w:tcPr>
          <w:p w14:paraId="660A6482">
            <w:pPr>
              <w:adjustRightInd w:val="0"/>
              <w:snapToGrid w:val="0"/>
              <w:spacing w:line="240" w:lineRule="auto"/>
              <w:ind w:firstLine="0" w:firstLineChars="0"/>
              <w:rPr>
                <w:rFonts w:ascii="宋体" w:hAnsi="宋体"/>
                <w:szCs w:val="21"/>
              </w:rPr>
            </w:pPr>
            <w:r>
              <w:rPr>
                <w:rFonts w:hint="eastAsia" w:ascii="宋体" w:hAnsi="宋体"/>
                <w:szCs w:val="21"/>
              </w:rPr>
              <w:t>克旗水利局</w:t>
            </w:r>
          </w:p>
        </w:tc>
      </w:tr>
      <w:tr w14:paraId="7260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61" w:type="dxa"/>
            <w:gridSpan w:val="7"/>
            <w:noWrap/>
            <w:vAlign w:val="center"/>
          </w:tcPr>
          <w:p w14:paraId="021B2E21">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226" w:type="dxa"/>
            <w:gridSpan w:val="6"/>
            <w:tcBorders>
              <w:right w:val="single" w:color="auto" w:sz="4" w:space="0"/>
            </w:tcBorders>
            <w:noWrap/>
            <w:vAlign w:val="center"/>
          </w:tcPr>
          <w:p w14:paraId="18DEB455">
            <w:pPr>
              <w:adjustRightInd w:val="0"/>
              <w:snapToGrid w:val="0"/>
              <w:spacing w:line="240" w:lineRule="auto"/>
              <w:ind w:firstLine="0" w:firstLineChars="0"/>
              <w:rPr>
                <w:rFonts w:ascii="宋体" w:hAnsi="宋体"/>
                <w:szCs w:val="21"/>
              </w:rPr>
            </w:pPr>
            <w:r>
              <w:rPr>
                <w:rFonts w:hint="eastAsia" w:ascii="宋体" w:hAnsi="宋体"/>
                <w:szCs w:val="21"/>
              </w:rPr>
              <w:t>混凝土拱坝</w:t>
            </w:r>
          </w:p>
        </w:tc>
        <w:tc>
          <w:tcPr>
            <w:tcW w:w="1278" w:type="dxa"/>
            <w:tcBorders>
              <w:left w:val="single" w:color="auto" w:sz="4" w:space="0"/>
              <w:right w:val="single" w:color="auto" w:sz="4" w:space="0"/>
            </w:tcBorders>
            <w:noWrap/>
            <w:vAlign w:val="center"/>
          </w:tcPr>
          <w:p w14:paraId="2FB83D48">
            <w:pPr>
              <w:adjustRightInd w:val="0"/>
              <w:snapToGrid w:val="0"/>
              <w:spacing w:line="240" w:lineRule="auto"/>
              <w:ind w:firstLine="0" w:firstLineChars="0"/>
              <w:rPr>
                <w:rFonts w:ascii="宋体" w:hAnsi="宋体"/>
                <w:szCs w:val="21"/>
              </w:rPr>
            </w:pPr>
            <w:r>
              <w:rPr>
                <w:rFonts w:hint="eastAsia" w:ascii="宋体" w:hAnsi="宋体"/>
                <w:szCs w:val="21"/>
              </w:rPr>
              <w:t>95.9米</w:t>
            </w:r>
          </w:p>
        </w:tc>
        <w:tc>
          <w:tcPr>
            <w:tcW w:w="1935" w:type="dxa"/>
            <w:tcBorders>
              <w:left w:val="single" w:color="auto" w:sz="4" w:space="0"/>
            </w:tcBorders>
            <w:noWrap/>
            <w:vAlign w:val="center"/>
          </w:tcPr>
          <w:p w14:paraId="5C5923CC">
            <w:pPr>
              <w:adjustRightInd w:val="0"/>
              <w:snapToGrid w:val="0"/>
              <w:spacing w:line="240" w:lineRule="auto"/>
              <w:ind w:firstLine="0" w:firstLineChars="0"/>
              <w:rPr>
                <w:rFonts w:ascii="宋体" w:hAnsi="宋体"/>
                <w:szCs w:val="21"/>
              </w:rPr>
            </w:pPr>
          </w:p>
        </w:tc>
      </w:tr>
      <w:tr w14:paraId="4281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7" w:type="dxa"/>
            <w:gridSpan w:val="3"/>
            <w:tcBorders>
              <w:right w:val="single" w:color="auto" w:sz="4" w:space="0"/>
            </w:tcBorders>
            <w:noWrap/>
            <w:vAlign w:val="center"/>
          </w:tcPr>
          <w:p w14:paraId="4B1AE9E0">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088" w:type="dxa"/>
            <w:gridSpan w:val="8"/>
            <w:tcBorders>
              <w:left w:val="single" w:color="auto" w:sz="4" w:space="0"/>
              <w:right w:val="single" w:color="auto" w:sz="4" w:space="0"/>
            </w:tcBorders>
            <w:noWrap/>
            <w:vAlign w:val="center"/>
          </w:tcPr>
          <w:p w14:paraId="07E8CFC2">
            <w:pPr>
              <w:adjustRightInd w:val="0"/>
              <w:snapToGrid w:val="0"/>
              <w:spacing w:line="240" w:lineRule="auto"/>
              <w:ind w:firstLine="0" w:firstLineChars="0"/>
              <w:rPr>
                <w:rFonts w:ascii="宋体" w:hAnsi="宋体"/>
                <w:szCs w:val="21"/>
              </w:rPr>
            </w:pPr>
            <w:r>
              <w:rPr>
                <w:rFonts w:hint="eastAsia" w:ascii="宋体" w:hAnsi="宋体"/>
                <w:szCs w:val="21"/>
              </w:rPr>
              <w:t>1682 万m³</w:t>
            </w:r>
          </w:p>
        </w:tc>
        <w:tc>
          <w:tcPr>
            <w:tcW w:w="2780" w:type="dxa"/>
            <w:gridSpan w:val="3"/>
            <w:tcBorders>
              <w:left w:val="single" w:color="auto" w:sz="4" w:space="0"/>
              <w:right w:val="single" w:color="auto" w:sz="4" w:space="0"/>
            </w:tcBorders>
            <w:noWrap/>
            <w:vAlign w:val="center"/>
          </w:tcPr>
          <w:p w14:paraId="7E7E66A6">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1935" w:type="dxa"/>
            <w:tcBorders>
              <w:left w:val="single" w:color="auto" w:sz="4" w:space="0"/>
            </w:tcBorders>
            <w:noWrap/>
            <w:vAlign w:val="center"/>
          </w:tcPr>
          <w:p w14:paraId="1D8537A7">
            <w:pPr>
              <w:adjustRightInd w:val="0"/>
              <w:snapToGrid w:val="0"/>
              <w:spacing w:line="240" w:lineRule="auto"/>
              <w:ind w:firstLine="0" w:firstLineChars="0"/>
              <w:rPr>
                <w:rFonts w:ascii="宋体" w:hAnsi="宋体"/>
                <w:szCs w:val="21"/>
              </w:rPr>
            </w:pPr>
            <w:r>
              <w:rPr>
                <w:rFonts w:hint="eastAsia" w:ascii="宋体" w:hAnsi="宋体"/>
                <w:szCs w:val="21"/>
              </w:rPr>
              <w:t>1159.5米</w:t>
            </w:r>
          </w:p>
        </w:tc>
      </w:tr>
      <w:tr w14:paraId="749A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894" w:type="dxa"/>
            <w:gridSpan w:val="5"/>
            <w:noWrap/>
            <w:vAlign w:val="center"/>
          </w:tcPr>
          <w:p w14:paraId="3E4C45A1">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791" w:type="dxa"/>
            <w:gridSpan w:val="6"/>
            <w:tcBorders>
              <w:right w:val="single" w:color="auto" w:sz="4" w:space="0"/>
            </w:tcBorders>
            <w:noWrap/>
            <w:vAlign w:val="center"/>
          </w:tcPr>
          <w:p w14:paraId="050D4119">
            <w:pPr>
              <w:adjustRightInd w:val="0"/>
              <w:snapToGrid w:val="0"/>
              <w:spacing w:line="240" w:lineRule="auto"/>
              <w:ind w:firstLine="0" w:firstLineChars="0"/>
              <w:rPr>
                <w:rFonts w:ascii="宋体" w:hAnsi="宋体"/>
                <w:szCs w:val="21"/>
              </w:rPr>
            </w:pPr>
            <w:r>
              <w:rPr>
                <w:rFonts w:hint="eastAsia" w:ascii="宋体" w:hAnsi="宋体"/>
                <w:szCs w:val="21"/>
              </w:rPr>
              <w:t>1161.1米</w:t>
            </w:r>
          </w:p>
        </w:tc>
        <w:tc>
          <w:tcPr>
            <w:tcW w:w="2780" w:type="dxa"/>
            <w:gridSpan w:val="3"/>
            <w:tcBorders>
              <w:left w:val="single" w:color="auto" w:sz="4" w:space="0"/>
            </w:tcBorders>
            <w:noWrap/>
            <w:vAlign w:val="center"/>
          </w:tcPr>
          <w:p w14:paraId="16F1C18D">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1935" w:type="dxa"/>
            <w:noWrap/>
            <w:vAlign w:val="center"/>
          </w:tcPr>
          <w:p w14:paraId="0BB42323">
            <w:pPr>
              <w:adjustRightInd w:val="0"/>
              <w:snapToGrid w:val="0"/>
              <w:spacing w:line="240" w:lineRule="auto"/>
              <w:ind w:firstLine="0" w:firstLineChars="0"/>
              <w:rPr>
                <w:rFonts w:ascii="宋体" w:hAnsi="宋体"/>
                <w:szCs w:val="21"/>
              </w:rPr>
            </w:pPr>
            <w:r>
              <w:rPr>
                <w:rFonts w:hint="eastAsia" w:ascii="宋体" w:hAnsi="宋体"/>
                <w:szCs w:val="21"/>
              </w:rPr>
              <w:t>20.10米</w:t>
            </w:r>
          </w:p>
        </w:tc>
      </w:tr>
      <w:tr w14:paraId="33BC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50" w:type="dxa"/>
            <w:gridSpan w:val="2"/>
            <w:tcBorders>
              <w:right w:val="single" w:color="auto" w:sz="4" w:space="0"/>
            </w:tcBorders>
            <w:noWrap/>
            <w:vAlign w:val="center"/>
          </w:tcPr>
          <w:p w14:paraId="57CAB82B">
            <w:pPr>
              <w:adjustRightInd w:val="0"/>
              <w:snapToGrid w:val="0"/>
              <w:spacing w:line="240" w:lineRule="auto"/>
              <w:ind w:firstLine="0" w:firstLineChars="0"/>
              <w:rPr>
                <w:rFonts w:ascii="宋体" w:hAnsi="宋体"/>
                <w:szCs w:val="21"/>
              </w:rPr>
            </w:pPr>
            <w:r>
              <w:rPr>
                <w:rFonts w:hint="eastAsia" w:ascii="宋体" w:hAnsi="宋体"/>
                <w:szCs w:val="21"/>
              </w:rPr>
              <w:t>泄洪建筑物</w:t>
            </w:r>
          </w:p>
        </w:tc>
        <w:tc>
          <w:tcPr>
            <w:tcW w:w="7850" w:type="dxa"/>
            <w:gridSpan w:val="13"/>
            <w:tcBorders>
              <w:left w:val="single" w:color="auto" w:sz="4" w:space="0"/>
            </w:tcBorders>
            <w:noWrap/>
            <w:vAlign w:val="center"/>
          </w:tcPr>
          <w:p w14:paraId="42D815D9">
            <w:pPr>
              <w:adjustRightInd w:val="0"/>
              <w:snapToGrid w:val="0"/>
              <w:spacing w:line="240" w:lineRule="auto"/>
              <w:ind w:firstLine="0" w:firstLineChars="0"/>
              <w:rPr>
                <w:rFonts w:ascii="宋体" w:hAnsi="宋体"/>
                <w:szCs w:val="21"/>
              </w:rPr>
            </w:pPr>
            <w:r>
              <w:rPr>
                <w:rFonts w:hint="eastAsia" w:ascii="宋体" w:hAnsi="宋体"/>
                <w:szCs w:val="21"/>
              </w:rPr>
              <w:t>开敞式溢洪道，设计泄洪量31m³/s，校核泄洪量75.7 m³/s</w:t>
            </w:r>
          </w:p>
        </w:tc>
      </w:tr>
      <w:tr w14:paraId="00C6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313" w:type="dxa"/>
            <w:gridSpan w:val="9"/>
            <w:tcBorders>
              <w:right w:val="single" w:color="auto" w:sz="4" w:space="0"/>
            </w:tcBorders>
            <w:noWrap/>
            <w:vAlign w:val="center"/>
          </w:tcPr>
          <w:p w14:paraId="26A41F16">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30" w:type="dxa"/>
            <w:gridSpan w:val="3"/>
            <w:tcBorders>
              <w:right w:val="single" w:color="auto" w:sz="4" w:space="0"/>
            </w:tcBorders>
            <w:noWrap/>
            <w:vAlign w:val="center"/>
          </w:tcPr>
          <w:p w14:paraId="2206840A">
            <w:pPr>
              <w:adjustRightInd w:val="0"/>
              <w:snapToGrid w:val="0"/>
              <w:spacing w:line="240" w:lineRule="auto"/>
              <w:ind w:firstLine="0" w:firstLineChars="0"/>
              <w:rPr>
                <w:rFonts w:ascii="宋体" w:hAnsi="宋体"/>
                <w:szCs w:val="21"/>
              </w:rPr>
            </w:pPr>
            <w:r>
              <w:rPr>
                <w:rFonts w:hint="eastAsia" w:ascii="宋体" w:hAnsi="宋体"/>
                <w:szCs w:val="21"/>
              </w:rPr>
              <w:t>人工</w:t>
            </w:r>
          </w:p>
        </w:tc>
        <w:tc>
          <w:tcPr>
            <w:tcW w:w="2122" w:type="dxa"/>
            <w:gridSpan w:val="2"/>
            <w:tcBorders>
              <w:right w:val="single" w:color="auto" w:sz="4" w:space="0"/>
            </w:tcBorders>
            <w:noWrap/>
            <w:vAlign w:val="center"/>
          </w:tcPr>
          <w:p w14:paraId="7F022337">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35" w:type="dxa"/>
            <w:tcBorders>
              <w:left w:val="single" w:color="auto" w:sz="4" w:space="0"/>
            </w:tcBorders>
            <w:noWrap/>
            <w:vAlign w:val="center"/>
          </w:tcPr>
          <w:p w14:paraId="59C43F3E">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24E3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20" w:type="dxa"/>
            <w:gridSpan w:val="4"/>
            <w:tcBorders>
              <w:top w:val="single" w:color="auto" w:sz="4" w:space="0"/>
              <w:bottom w:val="single" w:color="auto" w:sz="4" w:space="0"/>
              <w:right w:val="single" w:color="auto" w:sz="4" w:space="0"/>
            </w:tcBorders>
            <w:noWrap/>
            <w:vAlign w:val="center"/>
          </w:tcPr>
          <w:p w14:paraId="78F20B57">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723" w:type="dxa"/>
            <w:gridSpan w:val="8"/>
            <w:noWrap/>
            <w:vAlign w:val="center"/>
          </w:tcPr>
          <w:p w14:paraId="30C16958">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57" w:type="dxa"/>
            <w:gridSpan w:val="3"/>
            <w:vMerge w:val="restart"/>
            <w:noWrap/>
            <w:vAlign w:val="center"/>
          </w:tcPr>
          <w:p w14:paraId="353FD474">
            <w:pPr>
              <w:adjustRightInd w:val="0"/>
              <w:snapToGrid w:val="0"/>
              <w:spacing w:line="240" w:lineRule="auto"/>
              <w:ind w:firstLine="0" w:firstLineChars="0"/>
              <w:rPr>
                <w:rFonts w:ascii="宋体" w:hAnsi="宋体"/>
                <w:szCs w:val="21"/>
              </w:rPr>
            </w:pPr>
            <w:r>
              <w:rPr>
                <w:rFonts w:hint="eastAsia" w:ascii="宋体" w:hAnsi="宋体"/>
                <w:szCs w:val="21"/>
              </w:rPr>
              <w:t>汛限水位:1159.5米</w:t>
            </w:r>
          </w:p>
        </w:tc>
      </w:tr>
      <w:tr w14:paraId="6852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20" w:type="dxa"/>
            <w:gridSpan w:val="4"/>
            <w:tcBorders>
              <w:top w:val="single" w:color="auto" w:sz="4" w:space="0"/>
              <w:bottom w:val="single" w:color="auto" w:sz="4" w:space="0"/>
              <w:right w:val="single" w:color="auto" w:sz="4" w:space="0"/>
            </w:tcBorders>
            <w:noWrap/>
            <w:vAlign w:val="center"/>
          </w:tcPr>
          <w:p w14:paraId="0D0F43FE">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723" w:type="dxa"/>
            <w:gridSpan w:val="8"/>
            <w:noWrap/>
            <w:vAlign w:val="center"/>
          </w:tcPr>
          <w:p w14:paraId="02313B39">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57" w:type="dxa"/>
            <w:gridSpan w:val="3"/>
            <w:vMerge w:val="continue"/>
            <w:noWrap/>
            <w:vAlign w:val="center"/>
          </w:tcPr>
          <w:p w14:paraId="5B39766A">
            <w:pPr>
              <w:adjustRightInd w:val="0"/>
              <w:snapToGrid w:val="0"/>
              <w:spacing w:line="240" w:lineRule="auto"/>
              <w:ind w:firstLine="0" w:firstLineChars="0"/>
              <w:rPr>
                <w:rFonts w:ascii="宋体" w:hAnsi="宋体"/>
                <w:szCs w:val="21"/>
              </w:rPr>
            </w:pPr>
          </w:p>
        </w:tc>
      </w:tr>
      <w:tr w14:paraId="67FE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exact"/>
          <w:jc w:val="center"/>
        </w:trPr>
        <w:tc>
          <w:tcPr>
            <w:tcW w:w="839" w:type="dxa"/>
            <w:tcBorders>
              <w:top w:val="single" w:color="auto" w:sz="4" w:space="0"/>
              <w:right w:val="single" w:color="auto" w:sz="4" w:space="0"/>
            </w:tcBorders>
            <w:noWrap/>
            <w:vAlign w:val="center"/>
          </w:tcPr>
          <w:p w14:paraId="119C252A">
            <w:pPr>
              <w:adjustRightInd w:val="0"/>
              <w:snapToGrid w:val="0"/>
              <w:spacing w:line="240" w:lineRule="auto"/>
              <w:ind w:firstLine="0" w:firstLineChars="0"/>
              <w:rPr>
                <w:rFonts w:ascii="宋体" w:hAnsi="宋体"/>
                <w:szCs w:val="21"/>
              </w:rPr>
            </w:pPr>
            <w:r>
              <w:rPr>
                <w:rFonts w:hint="eastAsia" w:ascii="宋体" w:hAnsi="宋体"/>
                <w:szCs w:val="21"/>
              </w:rPr>
              <w:t>汛期调度方 式</w:t>
            </w:r>
          </w:p>
        </w:tc>
        <w:tc>
          <w:tcPr>
            <w:tcW w:w="8561" w:type="dxa"/>
            <w:gridSpan w:val="14"/>
            <w:tcBorders>
              <w:left w:val="single" w:color="auto" w:sz="4" w:space="0"/>
            </w:tcBorders>
            <w:noWrap/>
            <w:vAlign w:val="center"/>
          </w:tcPr>
          <w:p w14:paraId="39AC932E">
            <w:pPr>
              <w:adjustRightInd w:val="0"/>
              <w:snapToGrid w:val="0"/>
              <w:spacing w:line="240" w:lineRule="auto"/>
              <w:ind w:firstLine="0" w:firstLineChars="0"/>
              <w:rPr>
                <w:rFonts w:ascii="宋体" w:hAnsi="宋体"/>
                <w:szCs w:val="21"/>
              </w:rPr>
            </w:pPr>
            <w:r>
              <w:rPr>
                <w:rFonts w:hint="eastAsia" w:ascii="宋体" w:hAnsi="宋体"/>
                <w:szCs w:val="21"/>
              </w:rPr>
              <w:t>1、水位水库水位＜1158.50m时，水库蓄水；2、水位在1158.8m</w:t>
            </w:r>
            <w:r>
              <w:rPr>
                <w:rFonts w:hint="eastAsia" w:ascii="宋体" w:hAnsi="宋体"/>
                <w:szCs w:val="21"/>
                <w:lang w:eastAsia="zh-CN"/>
              </w:rPr>
              <w:t>～</w:t>
            </w:r>
            <w:r>
              <w:rPr>
                <w:rFonts w:hint="eastAsia" w:ascii="宋体" w:hAnsi="宋体"/>
                <w:szCs w:val="21"/>
              </w:rPr>
              <w:t>1159m之间；入库流量＜5m³/s时，来多少泄多少；入库流量≥10m³/s时，控泄10m³/s；3、控制闸门的开启，保持库水位为汛限水位，如来水量大于闸门全开时的泄量，从大坝溢流面溢流。</w:t>
            </w:r>
          </w:p>
        </w:tc>
      </w:tr>
      <w:tr w14:paraId="3A84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1933" w:type="dxa"/>
            <w:gridSpan w:val="6"/>
            <w:tcBorders>
              <w:right w:val="single" w:color="auto" w:sz="4" w:space="0"/>
            </w:tcBorders>
            <w:noWrap/>
            <w:vAlign w:val="center"/>
          </w:tcPr>
          <w:p w14:paraId="795E3C98">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67" w:type="dxa"/>
            <w:gridSpan w:val="9"/>
            <w:noWrap/>
            <w:vAlign w:val="center"/>
          </w:tcPr>
          <w:p w14:paraId="1C7ECFAA">
            <w:pPr>
              <w:adjustRightInd w:val="0"/>
              <w:snapToGrid w:val="0"/>
              <w:spacing w:line="240" w:lineRule="auto"/>
              <w:ind w:firstLine="0" w:firstLineChars="0"/>
              <w:rPr>
                <w:rFonts w:ascii="宋体" w:hAnsi="宋体"/>
                <w:szCs w:val="21"/>
              </w:rPr>
            </w:pPr>
            <w:r>
              <w:rPr>
                <w:rFonts w:hint="eastAsia" w:ascii="宋体" w:hAnsi="宋体"/>
                <w:szCs w:val="21"/>
              </w:rPr>
              <w:t>康营子、香磨、河南营子、大石门电站、胡家湾电站、龙口等电站，村庄2000人、6000亩农田。</w:t>
            </w:r>
          </w:p>
          <w:p w14:paraId="39353CE3">
            <w:pPr>
              <w:adjustRightInd w:val="0"/>
              <w:snapToGrid w:val="0"/>
              <w:spacing w:line="240" w:lineRule="auto"/>
              <w:ind w:firstLine="0" w:firstLineChars="0"/>
              <w:rPr>
                <w:rFonts w:ascii="宋体" w:hAnsi="宋体"/>
                <w:szCs w:val="21"/>
              </w:rPr>
            </w:pPr>
          </w:p>
        </w:tc>
      </w:tr>
    </w:tbl>
    <w:p w14:paraId="20E2BFAF">
      <w:pPr>
        <w:spacing w:line="240" w:lineRule="auto"/>
        <w:ind w:firstLine="0" w:firstLineChars="0"/>
        <w:jc w:val="center"/>
        <w:rPr>
          <w:rFonts w:ascii="宋体" w:hAnsi="宋体"/>
          <w:b/>
          <w:sz w:val="32"/>
          <w:szCs w:val="32"/>
        </w:rPr>
      </w:pPr>
      <w:r>
        <w:rPr>
          <w:rFonts w:hint="eastAsia" w:ascii="宋体" w:hAnsi="宋体"/>
          <w:b/>
          <w:sz w:val="32"/>
          <w:szCs w:val="32"/>
        </w:rPr>
        <w:t>龙口水库安全度汛明白卡</w:t>
      </w:r>
    </w:p>
    <w:tbl>
      <w:tblPr>
        <w:tblStyle w:val="21"/>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20"/>
        <w:gridCol w:w="340"/>
        <w:gridCol w:w="291"/>
        <w:gridCol w:w="113"/>
        <w:gridCol w:w="1305"/>
        <w:gridCol w:w="406"/>
        <w:gridCol w:w="493"/>
        <w:gridCol w:w="449"/>
        <w:gridCol w:w="677"/>
        <w:gridCol w:w="470"/>
        <w:gridCol w:w="1553"/>
        <w:gridCol w:w="2030"/>
      </w:tblGrid>
      <w:tr w14:paraId="14BE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221" w:type="dxa"/>
            <w:gridSpan w:val="8"/>
            <w:noWrap/>
            <w:vAlign w:val="center"/>
          </w:tcPr>
          <w:p w14:paraId="5543B941">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79" w:type="dxa"/>
            <w:gridSpan w:val="5"/>
            <w:noWrap/>
            <w:vAlign w:val="center"/>
          </w:tcPr>
          <w:p w14:paraId="2B0CADC8">
            <w:pPr>
              <w:adjustRightInd w:val="0"/>
              <w:snapToGrid w:val="0"/>
              <w:spacing w:line="240" w:lineRule="auto"/>
              <w:ind w:firstLine="0" w:firstLineChars="0"/>
              <w:rPr>
                <w:rFonts w:ascii="宋体" w:hAnsi="宋体"/>
                <w:szCs w:val="21"/>
              </w:rPr>
            </w:pPr>
            <w:r>
              <w:rPr>
                <w:rFonts w:hint="eastAsia" w:ascii="宋体" w:hAnsi="宋体"/>
                <w:szCs w:val="21"/>
              </w:rPr>
              <w:t>克旗红山子乡</w:t>
            </w:r>
          </w:p>
        </w:tc>
      </w:tr>
      <w:tr w14:paraId="3829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17" w:type="dxa"/>
            <w:gridSpan w:val="5"/>
            <w:tcBorders>
              <w:right w:val="single" w:color="auto" w:sz="4" w:space="0"/>
            </w:tcBorders>
            <w:noWrap/>
            <w:vAlign w:val="center"/>
          </w:tcPr>
          <w:p w14:paraId="6FE0D4C9">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383" w:type="dxa"/>
            <w:gridSpan w:val="8"/>
            <w:tcBorders>
              <w:left w:val="single" w:color="auto" w:sz="4" w:space="0"/>
            </w:tcBorders>
            <w:noWrap/>
            <w:vAlign w:val="center"/>
          </w:tcPr>
          <w:p w14:paraId="2904A29C">
            <w:pPr>
              <w:adjustRightInd w:val="0"/>
              <w:snapToGrid w:val="0"/>
              <w:spacing w:line="240" w:lineRule="auto"/>
              <w:ind w:firstLine="0" w:firstLineChars="0"/>
              <w:rPr>
                <w:rFonts w:ascii="宋体" w:hAnsi="宋体"/>
                <w:szCs w:val="21"/>
              </w:rPr>
            </w:pPr>
            <w:r>
              <w:rPr>
                <w:rFonts w:hint="eastAsia" w:ascii="宋体" w:hAnsi="宋体"/>
                <w:szCs w:val="21"/>
              </w:rPr>
              <w:t>防洪、发电、养鱼</w:t>
            </w:r>
          </w:p>
        </w:tc>
      </w:tr>
      <w:tr w14:paraId="4577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17" w:type="dxa"/>
            <w:gridSpan w:val="5"/>
            <w:tcBorders>
              <w:right w:val="single" w:color="auto" w:sz="4" w:space="0"/>
            </w:tcBorders>
            <w:noWrap/>
            <w:vAlign w:val="center"/>
          </w:tcPr>
          <w:p w14:paraId="2F71CF4C">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1711" w:type="dxa"/>
            <w:gridSpan w:val="2"/>
            <w:tcBorders>
              <w:left w:val="single" w:color="auto" w:sz="4" w:space="0"/>
            </w:tcBorders>
            <w:noWrap/>
            <w:vAlign w:val="center"/>
          </w:tcPr>
          <w:p w14:paraId="58F69B64">
            <w:pPr>
              <w:adjustRightInd w:val="0"/>
              <w:snapToGrid w:val="0"/>
              <w:spacing w:line="240" w:lineRule="auto"/>
              <w:ind w:firstLine="0" w:firstLineChars="0"/>
              <w:rPr>
                <w:rFonts w:ascii="宋体" w:hAnsi="宋体"/>
                <w:szCs w:val="21"/>
              </w:rPr>
            </w:pPr>
            <w:r>
              <w:rPr>
                <w:rFonts w:hint="eastAsia" w:ascii="宋体" w:hAnsi="宋体"/>
                <w:szCs w:val="21"/>
              </w:rPr>
              <w:t>西拉沐沦河</w:t>
            </w:r>
          </w:p>
        </w:tc>
        <w:tc>
          <w:tcPr>
            <w:tcW w:w="2089" w:type="dxa"/>
            <w:gridSpan w:val="4"/>
            <w:tcBorders>
              <w:top w:val="single" w:color="auto" w:sz="4" w:space="0"/>
              <w:bottom w:val="single" w:color="auto" w:sz="4" w:space="0"/>
              <w:right w:val="single" w:color="auto" w:sz="4" w:space="0"/>
            </w:tcBorders>
            <w:noWrap/>
            <w:vAlign w:val="center"/>
          </w:tcPr>
          <w:p w14:paraId="0D30D4B7">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583" w:type="dxa"/>
            <w:gridSpan w:val="2"/>
            <w:tcBorders>
              <w:top w:val="single" w:color="auto" w:sz="4" w:space="0"/>
              <w:bottom w:val="single" w:color="auto" w:sz="4" w:space="0"/>
            </w:tcBorders>
            <w:noWrap/>
            <w:vAlign w:val="center"/>
          </w:tcPr>
          <w:p w14:paraId="14114064">
            <w:pPr>
              <w:adjustRightInd w:val="0"/>
              <w:snapToGrid w:val="0"/>
              <w:spacing w:line="240" w:lineRule="auto"/>
              <w:ind w:firstLine="0" w:firstLineChars="0"/>
              <w:rPr>
                <w:rFonts w:ascii="宋体" w:hAnsi="宋体"/>
                <w:szCs w:val="21"/>
              </w:rPr>
            </w:pPr>
            <w:r>
              <w:rPr>
                <w:rFonts w:hint="eastAsia" w:ascii="宋体" w:hAnsi="宋体"/>
                <w:szCs w:val="21"/>
              </w:rPr>
              <w:t>克什克腾旗水利局</w:t>
            </w:r>
          </w:p>
        </w:tc>
      </w:tr>
      <w:tr w14:paraId="04AD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17" w:type="dxa"/>
            <w:gridSpan w:val="5"/>
            <w:noWrap/>
            <w:vAlign w:val="center"/>
          </w:tcPr>
          <w:p w14:paraId="2EBC2B23">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3800" w:type="dxa"/>
            <w:gridSpan w:val="6"/>
            <w:tcBorders>
              <w:right w:val="single" w:color="auto" w:sz="4" w:space="0"/>
            </w:tcBorders>
            <w:noWrap/>
            <w:vAlign w:val="center"/>
          </w:tcPr>
          <w:p w14:paraId="68059BB0">
            <w:pPr>
              <w:adjustRightInd w:val="0"/>
              <w:snapToGrid w:val="0"/>
              <w:spacing w:line="240" w:lineRule="auto"/>
              <w:ind w:firstLine="0" w:firstLineChars="0"/>
              <w:rPr>
                <w:rFonts w:ascii="宋体" w:hAnsi="宋体"/>
                <w:szCs w:val="21"/>
              </w:rPr>
            </w:pPr>
            <w:r>
              <w:rPr>
                <w:rFonts w:hint="eastAsia" w:ascii="宋体" w:hAnsi="宋体"/>
                <w:szCs w:val="21"/>
              </w:rPr>
              <w:t>浆砌石重力坝</w:t>
            </w:r>
          </w:p>
        </w:tc>
        <w:tc>
          <w:tcPr>
            <w:tcW w:w="1553" w:type="dxa"/>
            <w:tcBorders>
              <w:left w:val="single" w:color="auto" w:sz="4" w:space="0"/>
              <w:right w:val="single" w:color="auto" w:sz="4" w:space="0"/>
            </w:tcBorders>
            <w:noWrap/>
            <w:vAlign w:val="center"/>
          </w:tcPr>
          <w:p w14:paraId="4E75A5F1">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30" w:type="dxa"/>
            <w:tcBorders>
              <w:left w:val="single" w:color="auto" w:sz="4" w:space="0"/>
            </w:tcBorders>
            <w:noWrap/>
            <w:vAlign w:val="center"/>
          </w:tcPr>
          <w:p w14:paraId="2F6C1577">
            <w:pPr>
              <w:adjustRightInd w:val="0"/>
              <w:snapToGrid w:val="0"/>
              <w:spacing w:line="240" w:lineRule="auto"/>
              <w:ind w:firstLine="0" w:firstLineChars="0"/>
              <w:rPr>
                <w:rFonts w:ascii="宋体" w:hAnsi="宋体"/>
                <w:szCs w:val="21"/>
              </w:rPr>
            </w:pPr>
            <w:r>
              <w:rPr>
                <w:rFonts w:hint="eastAsia" w:ascii="宋体" w:hAnsi="宋体"/>
                <w:szCs w:val="21"/>
              </w:rPr>
              <w:t>67.5米</w:t>
            </w:r>
          </w:p>
        </w:tc>
      </w:tr>
      <w:tr w14:paraId="4B5C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13" w:type="dxa"/>
            <w:gridSpan w:val="3"/>
            <w:tcBorders>
              <w:right w:val="single" w:color="auto" w:sz="4" w:space="0"/>
            </w:tcBorders>
            <w:noWrap/>
            <w:vAlign w:val="center"/>
          </w:tcPr>
          <w:p w14:paraId="6B4DA70C">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057" w:type="dxa"/>
            <w:gridSpan w:val="6"/>
            <w:tcBorders>
              <w:left w:val="single" w:color="auto" w:sz="4" w:space="0"/>
              <w:right w:val="single" w:color="auto" w:sz="4" w:space="0"/>
            </w:tcBorders>
            <w:noWrap/>
            <w:vAlign w:val="center"/>
          </w:tcPr>
          <w:p w14:paraId="462281F1">
            <w:pPr>
              <w:adjustRightInd w:val="0"/>
              <w:snapToGrid w:val="0"/>
              <w:spacing w:line="240" w:lineRule="auto"/>
              <w:ind w:firstLine="0" w:firstLineChars="0"/>
              <w:rPr>
                <w:rFonts w:ascii="宋体" w:hAnsi="宋体"/>
                <w:szCs w:val="21"/>
              </w:rPr>
            </w:pPr>
            <w:r>
              <w:rPr>
                <w:rFonts w:hint="eastAsia" w:ascii="宋体" w:hAnsi="宋体"/>
                <w:szCs w:val="21"/>
              </w:rPr>
              <w:t>1060万m³</w:t>
            </w:r>
          </w:p>
        </w:tc>
        <w:tc>
          <w:tcPr>
            <w:tcW w:w="2700" w:type="dxa"/>
            <w:gridSpan w:val="3"/>
            <w:tcBorders>
              <w:left w:val="single" w:color="auto" w:sz="4" w:space="0"/>
              <w:right w:val="single" w:color="auto" w:sz="4" w:space="0"/>
            </w:tcBorders>
            <w:noWrap/>
            <w:vAlign w:val="center"/>
          </w:tcPr>
          <w:p w14:paraId="132438C2">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30" w:type="dxa"/>
            <w:tcBorders>
              <w:left w:val="single" w:color="auto" w:sz="4" w:space="0"/>
            </w:tcBorders>
            <w:noWrap/>
            <w:vAlign w:val="center"/>
          </w:tcPr>
          <w:p w14:paraId="341E71F6">
            <w:pPr>
              <w:adjustRightInd w:val="0"/>
              <w:snapToGrid w:val="0"/>
              <w:spacing w:line="240" w:lineRule="auto"/>
              <w:ind w:firstLine="0" w:firstLineChars="0"/>
              <w:rPr>
                <w:rFonts w:ascii="宋体" w:hAnsi="宋体"/>
                <w:szCs w:val="21"/>
              </w:rPr>
            </w:pPr>
            <w:r>
              <w:rPr>
                <w:rFonts w:hint="eastAsia" w:ascii="宋体" w:hAnsi="宋体"/>
                <w:szCs w:val="21"/>
              </w:rPr>
              <w:t>990米</w:t>
            </w:r>
          </w:p>
        </w:tc>
      </w:tr>
      <w:tr w14:paraId="50BF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04" w:type="dxa"/>
            <w:gridSpan w:val="4"/>
            <w:noWrap/>
            <w:vAlign w:val="center"/>
          </w:tcPr>
          <w:p w14:paraId="20C00F1E">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766" w:type="dxa"/>
            <w:gridSpan w:val="5"/>
            <w:tcBorders>
              <w:right w:val="single" w:color="auto" w:sz="4" w:space="0"/>
            </w:tcBorders>
            <w:noWrap/>
            <w:vAlign w:val="center"/>
          </w:tcPr>
          <w:p w14:paraId="74E84CC0">
            <w:pPr>
              <w:adjustRightInd w:val="0"/>
              <w:snapToGrid w:val="0"/>
              <w:spacing w:line="240" w:lineRule="auto"/>
              <w:ind w:firstLine="0" w:firstLineChars="0"/>
              <w:rPr>
                <w:rFonts w:ascii="宋体" w:hAnsi="宋体"/>
                <w:szCs w:val="21"/>
              </w:rPr>
            </w:pPr>
            <w:r>
              <w:rPr>
                <w:rFonts w:hint="eastAsia" w:ascii="宋体" w:hAnsi="宋体"/>
                <w:szCs w:val="21"/>
              </w:rPr>
              <w:t>992.5米</w:t>
            </w:r>
          </w:p>
        </w:tc>
        <w:tc>
          <w:tcPr>
            <w:tcW w:w="2700" w:type="dxa"/>
            <w:gridSpan w:val="3"/>
            <w:tcBorders>
              <w:left w:val="single" w:color="auto" w:sz="4" w:space="0"/>
            </w:tcBorders>
            <w:noWrap/>
            <w:vAlign w:val="center"/>
          </w:tcPr>
          <w:p w14:paraId="18A0B431">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30" w:type="dxa"/>
            <w:noWrap/>
            <w:vAlign w:val="center"/>
          </w:tcPr>
          <w:p w14:paraId="54027316">
            <w:pPr>
              <w:adjustRightInd w:val="0"/>
              <w:snapToGrid w:val="0"/>
              <w:spacing w:line="240" w:lineRule="auto"/>
              <w:ind w:firstLine="0" w:firstLineChars="0"/>
              <w:rPr>
                <w:rFonts w:ascii="宋体" w:hAnsi="宋体"/>
                <w:szCs w:val="21"/>
              </w:rPr>
            </w:pPr>
            <w:r>
              <w:rPr>
                <w:rFonts w:hint="eastAsia" w:ascii="宋体" w:hAnsi="宋体"/>
                <w:szCs w:val="21"/>
              </w:rPr>
              <w:t>25.5米</w:t>
            </w:r>
          </w:p>
        </w:tc>
      </w:tr>
      <w:tr w14:paraId="352C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exact"/>
          <w:jc w:val="center"/>
        </w:trPr>
        <w:tc>
          <w:tcPr>
            <w:tcW w:w="1613" w:type="dxa"/>
            <w:gridSpan w:val="3"/>
            <w:tcBorders>
              <w:right w:val="single" w:color="auto" w:sz="4" w:space="0"/>
            </w:tcBorders>
            <w:noWrap/>
            <w:vAlign w:val="center"/>
          </w:tcPr>
          <w:p w14:paraId="58C03475">
            <w:pPr>
              <w:adjustRightInd w:val="0"/>
              <w:snapToGrid w:val="0"/>
              <w:spacing w:line="240" w:lineRule="auto"/>
              <w:ind w:firstLine="0" w:firstLineChars="0"/>
              <w:rPr>
                <w:rFonts w:ascii="宋体" w:hAnsi="宋体"/>
                <w:szCs w:val="21"/>
              </w:rPr>
            </w:pPr>
            <w:r>
              <w:rPr>
                <w:rFonts w:hint="eastAsia" w:ascii="宋体" w:hAnsi="宋体"/>
                <w:szCs w:val="21"/>
              </w:rPr>
              <w:t>泄  洪</w:t>
            </w:r>
          </w:p>
          <w:p w14:paraId="7F7AEB9C">
            <w:pPr>
              <w:adjustRightInd w:val="0"/>
              <w:snapToGrid w:val="0"/>
              <w:spacing w:line="240" w:lineRule="auto"/>
              <w:ind w:firstLine="0" w:firstLineChars="0"/>
              <w:rPr>
                <w:rFonts w:ascii="宋体" w:hAnsi="宋体"/>
                <w:szCs w:val="21"/>
              </w:rPr>
            </w:pPr>
            <w:r>
              <w:rPr>
                <w:rFonts w:hint="eastAsia" w:ascii="宋体" w:hAnsi="宋体"/>
                <w:szCs w:val="21"/>
              </w:rPr>
              <w:t>建筑物</w:t>
            </w:r>
          </w:p>
        </w:tc>
        <w:tc>
          <w:tcPr>
            <w:tcW w:w="7787" w:type="dxa"/>
            <w:gridSpan w:val="10"/>
            <w:tcBorders>
              <w:left w:val="single" w:color="auto" w:sz="4" w:space="0"/>
            </w:tcBorders>
            <w:noWrap/>
            <w:vAlign w:val="center"/>
          </w:tcPr>
          <w:p w14:paraId="33FF4F6C">
            <w:pPr>
              <w:adjustRightInd w:val="0"/>
              <w:snapToGrid w:val="0"/>
              <w:spacing w:line="240" w:lineRule="auto"/>
              <w:ind w:firstLine="0" w:firstLineChars="0"/>
              <w:rPr>
                <w:rFonts w:ascii="宋体" w:hAnsi="宋体"/>
                <w:szCs w:val="21"/>
              </w:rPr>
            </w:pPr>
            <w:r>
              <w:rPr>
                <w:rFonts w:hint="eastAsia" w:ascii="宋体" w:hAnsi="宋体"/>
                <w:szCs w:val="21"/>
              </w:rPr>
              <w:t>开敞式溢流堰；设计洪水最大泄量82.6m³/s，校核洪水最大泄量206 m³/s</w:t>
            </w:r>
          </w:p>
        </w:tc>
      </w:tr>
      <w:tr w14:paraId="6F9E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22" w:type="dxa"/>
            <w:gridSpan w:val="6"/>
            <w:tcBorders>
              <w:right w:val="single" w:color="auto" w:sz="4" w:space="0"/>
            </w:tcBorders>
            <w:noWrap/>
            <w:vAlign w:val="center"/>
          </w:tcPr>
          <w:p w14:paraId="5A9FCE92">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25" w:type="dxa"/>
            <w:gridSpan w:val="4"/>
            <w:tcBorders>
              <w:right w:val="single" w:color="auto" w:sz="4" w:space="0"/>
            </w:tcBorders>
            <w:noWrap/>
            <w:vAlign w:val="center"/>
          </w:tcPr>
          <w:p w14:paraId="74A97F15">
            <w:pPr>
              <w:adjustRightInd w:val="0"/>
              <w:snapToGrid w:val="0"/>
              <w:spacing w:line="240" w:lineRule="auto"/>
              <w:ind w:firstLine="0" w:firstLineChars="0"/>
              <w:rPr>
                <w:rFonts w:ascii="宋体" w:hAnsi="宋体"/>
                <w:szCs w:val="21"/>
              </w:rPr>
            </w:pPr>
            <w:r>
              <w:rPr>
                <w:rFonts w:hint="eastAsia" w:ascii="宋体" w:hAnsi="宋体"/>
                <w:szCs w:val="21"/>
              </w:rPr>
              <w:t>人工</w:t>
            </w:r>
          </w:p>
        </w:tc>
        <w:tc>
          <w:tcPr>
            <w:tcW w:w="2023" w:type="dxa"/>
            <w:gridSpan w:val="2"/>
            <w:tcBorders>
              <w:right w:val="single" w:color="auto" w:sz="4" w:space="0"/>
            </w:tcBorders>
            <w:noWrap/>
            <w:vAlign w:val="center"/>
          </w:tcPr>
          <w:p w14:paraId="675C6260">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2030" w:type="dxa"/>
            <w:tcBorders>
              <w:left w:val="single" w:color="auto" w:sz="4" w:space="0"/>
            </w:tcBorders>
            <w:noWrap/>
            <w:vAlign w:val="center"/>
          </w:tcPr>
          <w:p w14:paraId="0AF4786D">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7447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3" w:type="dxa"/>
            <w:gridSpan w:val="2"/>
            <w:tcBorders>
              <w:top w:val="single" w:color="auto" w:sz="4" w:space="0"/>
              <w:bottom w:val="single" w:color="auto" w:sz="4" w:space="0"/>
              <w:right w:val="single" w:color="auto" w:sz="4" w:space="0"/>
            </w:tcBorders>
            <w:noWrap/>
            <w:vAlign w:val="center"/>
          </w:tcPr>
          <w:p w14:paraId="0A9A057F">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4074" w:type="dxa"/>
            <w:gridSpan w:val="8"/>
            <w:noWrap/>
            <w:vAlign w:val="center"/>
          </w:tcPr>
          <w:p w14:paraId="3045B82A">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53" w:type="dxa"/>
            <w:gridSpan w:val="3"/>
            <w:vMerge w:val="restart"/>
            <w:noWrap/>
            <w:vAlign w:val="center"/>
          </w:tcPr>
          <w:p w14:paraId="537A2D33">
            <w:pPr>
              <w:adjustRightInd w:val="0"/>
              <w:snapToGrid w:val="0"/>
              <w:spacing w:line="240" w:lineRule="auto"/>
              <w:ind w:firstLine="0" w:firstLineChars="0"/>
              <w:rPr>
                <w:rFonts w:ascii="宋体" w:hAnsi="宋体"/>
                <w:szCs w:val="21"/>
              </w:rPr>
            </w:pPr>
            <w:r>
              <w:rPr>
                <w:rFonts w:hint="eastAsia" w:ascii="宋体" w:hAnsi="宋体"/>
                <w:szCs w:val="21"/>
              </w:rPr>
              <w:t>汛限水位:990.0米</w:t>
            </w:r>
          </w:p>
        </w:tc>
      </w:tr>
      <w:tr w14:paraId="5903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3" w:type="dxa"/>
            <w:gridSpan w:val="2"/>
            <w:tcBorders>
              <w:top w:val="single" w:color="auto" w:sz="4" w:space="0"/>
              <w:bottom w:val="single" w:color="auto" w:sz="4" w:space="0"/>
              <w:right w:val="single" w:color="auto" w:sz="4" w:space="0"/>
            </w:tcBorders>
            <w:noWrap/>
            <w:vAlign w:val="center"/>
          </w:tcPr>
          <w:p w14:paraId="7790C854">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4074" w:type="dxa"/>
            <w:gridSpan w:val="8"/>
            <w:noWrap/>
            <w:vAlign w:val="center"/>
          </w:tcPr>
          <w:p w14:paraId="6255FA64">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53" w:type="dxa"/>
            <w:gridSpan w:val="3"/>
            <w:vMerge w:val="continue"/>
            <w:noWrap/>
            <w:vAlign w:val="center"/>
          </w:tcPr>
          <w:p w14:paraId="53B07807">
            <w:pPr>
              <w:adjustRightInd w:val="0"/>
              <w:snapToGrid w:val="0"/>
              <w:spacing w:line="240" w:lineRule="auto"/>
              <w:ind w:firstLine="0" w:firstLineChars="0"/>
              <w:rPr>
                <w:rFonts w:ascii="宋体" w:hAnsi="宋体"/>
                <w:szCs w:val="21"/>
              </w:rPr>
            </w:pPr>
          </w:p>
        </w:tc>
      </w:tr>
      <w:tr w14:paraId="4E0F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exact"/>
          <w:jc w:val="center"/>
        </w:trPr>
        <w:tc>
          <w:tcPr>
            <w:tcW w:w="753" w:type="dxa"/>
            <w:tcBorders>
              <w:top w:val="single" w:color="auto" w:sz="4" w:space="0"/>
              <w:right w:val="single" w:color="auto" w:sz="4" w:space="0"/>
            </w:tcBorders>
            <w:noWrap/>
            <w:vAlign w:val="center"/>
          </w:tcPr>
          <w:p w14:paraId="47D8B67F">
            <w:pPr>
              <w:adjustRightInd w:val="0"/>
              <w:snapToGrid w:val="0"/>
              <w:spacing w:line="240" w:lineRule="auto"/>
              <w:ind w:firstLine="0" w:firstLineChars="0"/>
              <w:rPr>
                <w:rFonts w:ascii="宋体" w:hAnsi="宋体"/>
                <w:szCs w:val="21"/>
              </w:rPr>
            </w:pPr>
            <w:r>
              <w:rPr>
                <w:rFonts w:hint="eastAsia" w:ascii="宋体" w:hAnsi="宋体"/>
                <w:szCs w:val="21"/>
              </w:rPr>
              <w:t>汛期调度方 式</w:t>
            </w:r>
          </w:p>
        </w:tc>
        <w:tc>
          <w:tcPr>
            <w:tcW w:w="8647" w:type="dxa"/>
            <w:gridSpan w:val="12"/>
            <w:tcBorders>
              <w:left w:val="single" w:color="auto" w:sz="4" w:space="0"/>
            </w:tcBorders>
            <w:noWrap/>
            <w:vAlign w:val="center"/>
          </w:tcPr>
          <w:p w14:paraId="4F123549">
            <w:pPr>
              <w:adjustRightInd w:val="0"/>
              <w:snapToGrid w:val="0"/>
              <w:spacing w:line="240" w:lineRule="auto"/>
              <w:ind w:firstLine="0" w:firstLineChars="0"/>
              <w:rPr>
                <w:rFonts w:ascii="宋体" w:hAnsi="宋体"/>
                <w:szCs w:val="21"/>
              </w:rPr>
            </w:pPr>
            <w:r>
              <w:rPr>
                <w:rFonts w:hint="eastAsia" w:ascii="宋体" w:hAnsi="宋体"/>
                <w:szCs w:val="21"/>
              </w:rPr>
              <w:t>1、水位水库水位＜989.00m时，水库蓄水；2、水位在989m</w:t>
            </w:r>
            <w:r>
              <w:rPr>
                <w:rFonts w:hint="eastAsia" w:ascii="宋体" w:hAnsi="宋体"/>
                <w:szCs w:val="21"/>
                <w:lang w:eastAsia="zh-CN"/>
              </w:rPr>
              <w:t>～</w:t>
            </w:r>
            <w:r>
              <w:rPr>
                <w:rFonts w:hint="eastAsia" w:ascii="宋体" w:hAnsi="宋体"/>
                <w:szCs w:val="21"/>
              </w:rPr>
              <w:t>989.5m之间；入库流量＜10m³/s时，来多少泄多少；入库流量≥10m³/s时，控泄10m³/s；3、控制闸门的开启，保持库水位为汛限水位，如来水量大于闸门全开时的泄量，从大坝溢流面溢流。</w:t>
            </w:r>
          </w:p>
        </w:tc>
      </w:tr>
      <w:tr w14:paraId="189E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273" w:type="dxa"/>
            <w:gridSpan w:val="2"/>
            <w:tcBorders>
              <w:right w:val="single" w:color="auto" w:sz="4" w:space="0"/>
            </w:tcBorders>
            <w:noWrap/>
            <w:vAlign w:val="center"/>
          </w:tcPr>
          <w:p w14:paraId="3AA65B79">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8127" w:type="dxa"/>
            <w:gridSpan w:val="11"/>
            <w:noWrap/>
            <w:vAlign w:val="center"/>
          </w:tcPr>
          <w:p w14:paraId="2FD81426">
            <w:pPr>
              <w:adjustRightInd w:val="0"/>
              <w:snapToGrid w:val="0"/>
              <w:spacing w:line="240" w:lineRule="auto"/>
              <w:ind w:firstLine="0" w:firstLineChars="0"/>
              <w:rPr>
                <w:rFonts w:ascii="宋体" w:hAnsi="宋体"/>
                <w:szCs w:val="21"/>
              </w:rPr>
            </w:pPr>
            <w:r>
              <w:rPr>
                <w:rFonts w:hint="eastAsia" w:ascii="宋体" w:hAnsi="宋体"/>
                <w:szCs w:val="21"/>
              </w:rPr>
              <w:t>龙尾电站、金沐沦电站、葫芦头、扎木苏等七个村庄，5000亩农田，经山线公路36km</w:t>
            </w:r>
          </w:p>
        </w:tc>
      </w:tr>
    </w:tbl>
    <w:p w14:paraId="7DDC9879">
      <w:pPr>
        <w:spacing w:line="240" w:lineRule="auto"/>
        <w:ind w:firstLine="0" w:firstLineChars="0"/>
        <w:jc w:val="center"/>
        <w:rPr>
          <w:rFonts w:ascii="宋体" w:hAnsi="宋体"/>
          <w:b/>
          <w:sz w:val="32"/>
          <w:szCs w:val="32"/>
        </w:rPr>
      </w:pPr>
    </w:p>
    <w:p w14:paraId="51099F09">
      <w:pPr>
        <w:spacing w:line="240" w:lineRule="auto"/>
        <w:ind w:firstLine="0" w:firstLineChars="0"/>
        <w:jc w:val="center"/>
        <w:rPr>
          <w:rFonts w:ascii="宋体" w:hAnsi="宋体"/>
          <w:b/>
          <w:sz w:val="32"/>
          <w:szCs w:val="32"/>
        </w:rPr>
      </w:pPr>
      <w:r>
        <w:rPr>
          <w:rFonts w:hint="eastAsia" w:ascii="宋体" w:hAnsi="宋体"/>
          <w:b/>
          <w:sz w:val="32"/>
          <w:szCs w:val="32"/>
        </w:rPr>
        <w:t>五道石门水库安全度汛明白卡</w:t>
      </w:r>
    </w:p>
    <w:tbl>
      <w:tblPr>
        <w:tblStyle w:val="21"/>
        <w:tblW w:w="9400" w:type="dxa"/>
        <w:jc w:val="center"/>
        <w:tblLayout w:type="fixed"/>
        <w:tblCellMar>
          <w:top w:w="0" w:type="dxa"/>
          <w:left w:w="108" w:type="dxa"/>
          <w:bottom w:w="0" w:type="dxa"/>
          <w:right w:w="108" w:type="dxa"/>
        </w:tblCellMar>
      </w:tblPr>
      <w:tblGrid>
        <w:gridCol w:w="842"/>
        <w:gridCol w:w="678"/>
        <w:gridCol w:w="85"/>
        <w:gridCol w:w="297"/>
        <w:gridCol w:w="68"/>
        <w:gridCol w:w="1350"/>
        <w:gridCol w:w="872"/>
        <w:gridCol w:w="477"/>
        <w:gridCol w:w="677"/>
        <w:gridCol w:w="850"/>
        <w:gridCol w:w="1175"/>
        <w:gridCol w:w="95"/>
        <w:gridCol w:w="1934"/>
      </w:tblGrid>
      <w:tr w14:paraId="5506EE91">
        <w:tblPrEx>
          <w:tblCellMar>
            <w:top w:w="0" w:type="dxa"/>
            <w:left w:w="108" w:type="dxa"/>
            <w:bottom w:w="0" w:type="dxa"/>
            <w:right w:w="108" w:type="dxa"/>
          </w:tblCellMar>
        </w:tblPrEx>
        <w:trPr>
          <w:trHeight w:val="340" w:hRule="exact"/>
          <w:jc w:val="center"/>
        </w:trPr>
        <w:tc>
          <w:tcPr>
            <w:tcW w:w="4192" w:type="dxa"/>
            <w:gridSpan w:val="7"/>
            <w:tcBorders>
              <w:top w:val="single" w:color="auto" w:sz="4" w:space="0"/>
              <w:left w:val="single" w:color="auto" w:sz="4" w:space="0"/>
              <w:bottom w:val="single" w:color="auto" w:sz="4" w:space="0"/>
              <w:right w:val="single" w:color="auto" w:sz="4" w:space="0"/>
            </w:tcBorders>
            <w:noWrap/>
            <w:vAlign w:val="center"/>
          </w:tcPr>
          <w:p w14:paraId="42AA4AA6">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208" w:type="dxa"/>
            <w:gridSpan w:val="6"/>
            <w:tcBorders>
              <w:top w:val="single" w:color="auto" w:sz="4" w:space="0"/>
              <w:left w:val="single" w:color="auto" w:sz="4" w:space="0"/>
              <w:bottom w:val="single" w:color="auto" w:sz="4" w:space="0"/>
              <w:right w:val="single" w:color="auto" w:sz="4" w:space="0"/>
            </w:tcBorders>
            <w:noWrap/>
            <w:vAlign w:val="center"/>
          </w:tcPr>
          <w:p w14:paraId="734EDD4F">
            <w:pPr>
              <w:adjustRightInd w:val="0"/>
              <w:snapToGrid w:val="0"/>
              <w:spacing w:line="240" w:lineRule="auto"/>
              <w:ind w:firstLine="0" w:firstLineChars="0"/>
              <w:rPr>
                <w:rFonts w:ascii="宋体" w:hAnsi="宋体"/>
                <w:szCs w:val="21"/>
              </w:rPr>
            </w:pPr>
            <w:r>
              <w:rPr>
                <w:rFonts w:hint="eastAsia" w:ascii="宋体" w:hAnsi="宋体"/>
                <w:szCs w:val="21"/>
              </w:rPr>
              <w:t>克旗巴彦查干苏木</w:t>
            </w:r>
          </w:p>
        </w:tc>
      </w:tr>
      <w:tr w14:paraId="2A4FDF3E">
        <w:tblPrEx>
          <w:tblCellMar>
            <w:top w:w="0" w:type="dxa"/>
            <w:left w:w="108" w:type="dxa"/>
            <w:bottom w:w="0" w:type="dxa"/>
            <w:right w:w="108" w:type="dxa"/>
          </w:tblCellMar>
        </w:tblPrEx>
        <w:trPr>
          <w:trHeight w:val="340" w:hRule="exact"/>
          <w:jc w:val="center"/>
        </w:trPr>
        <w:tc>
          <w:tcPr>
            <w:tcW w:w="1970" w:type="dxa"/>
            <w:gridSpan w:val="5"/>
            <w:tcBorders>
              <w:top w:val="single" w:color="auto" w:sz="4" w:space="0"/>
              <w:left w:val="single" w:color="auto" w:sz="4" w:space="0"/>
              <w:bottom w:val="single" w:color="auto" w:sz="4" w:space="0"/>
              <w:right w:val="single" w:color="auto" w:sz="4" w:space="0"/>
            </w:tcBorders>
            <w:noWrap/>
            <w:vAlign w:val="center"/>
          </w:tcPr>
          <w:p w14:paraId="5CE4EA4F">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430" w:type="dxa"/>
            <w:gridSpan w:val="8"/>
            <w:tcBorders>
              <w:top w:val="single" w:color="auto" w:sz="4" w:space="0"/>
              <w:left w:val="single" w:color="auto" w:sz="4" w:space="0"/>
              <w:bottom w:val="single" w:color="auto" w:sz="4" w:space="0"/>
              <w:right w:val="single" w:color="auto" w:sz="4" w:space="0"/>
            </w:tcBorders>
            <w:noWrap/>
            <w:vAlign w:val="center"/>
          </w:tcPr>
          <w:p w14:paraId="296C4263">
            <w:pPr>
              <w:adjustRightInd w:val="0"/>
              <w:snapToGrid w:val="0"/>
              <w:spacing w:line="240" w:lineRule="auto"/>
              <w:ind w:firstLine="0" w:firstLineChars="0"/>
              <w:rPr>
                <w:rFonts w:ascii="宋体" w:hAnsi="宋体"/>
                <w:szCs w:val="21"/>
              </w:rPr>
            </w:pPr>
            <w:r>
              <w:rPr>
                <w:rFonts w:hint="eastAsia" w:ascii="宋体" w:hAnsi="宋体"/>
                <w:szCs w:val="21"/>
              </w:rPr>
              <w:t>防洪、发电</w:t>
            </w:r>
          </w:p>
        </w:tc>
      </w:tr>
      <w:tr w14:paraId="42FE3C5A">
        <w:tblPrEx>
          <w:tblCellMar>
            <w:top w:w="0" w:type="dxa"/>
            <w:left w:w="108" w:type="dxa"/>
            <w:bottom w:w="0" w:type="dxa"/>
            <w:right w:w="108" w:type="dxa"/>
          </w:tblCellMar>
        </w:tblPrEx>
        <w:trPr>
          <w:trHeight w:val="340" w:hRule="exact"/>
          <w:jc w:val="center"/>
        </w:trPr>
        <w:tc>
          <w:tcPr>
            <w:tcW w:w="1970" w:type="dxa"/>
            <w:gridSpan w:val="5"/>
            <w:tcBorders>
              <w:top w:val="single" w:color="auto" w:sz="4" w:space="0"/>
              <w:left w:val="single" w:color="auto" w:sz="4" w:space="0"/>
              <w:bottom w:val="single" w:color="auto" w:sz="4" w:space="0"/>
              <w:right w:val="single" w:color="auto" w:sz="4" w:space="0"/>
            </w:tcBorders>
            <w:noWrap/>
            <w:vAlign w:val="center"/>
          </w:tcPr>
          <w:p w14:paraId="295DE851">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222" w:type="dxa"/>
            <w:gridSpan w:val="2"/>
            <w:tcBorders>
              <w:top w:val="single" w:color="auto" w:sz="4" w:space="0"/>
              <w:left w:val="single" w:color="auto" w:sz="4" w:space="0"/>
              <w:bottom w:val="single" w:color="auto" w:sz="4" w:space="0"/>
              <w:right w:val="single" w:color="auto" w:sz="4" w:space="0"/>
            </w:tcBorders>
            <w:noWrap/>
            <w:vAlign w:val="center"/>
          </w:tcPr>
          <w:p w14:paraId="0FEE2D2D">
            <w:pPr>
              <w:adjustRightInd w:val="0"/>
              <w:snapToGrid w:val="0"/>
              <w:spacing w:line="240" w:lineRule="auto"/>
              <w:ind w:firstLine="0" w:firstLineChars="0"/>
              <w:rPr>
                <w:rFonts w:ascii="宋体" w:hAnsi="宋体"/>
                <w:szCs w:val="21"/>
              </w:rPr>
            </w:pPr>
            <w:r>
              <w:rPr>
                <w:rFonts w:hint="eastAsia" w:ascii="宋体" w:hAnsi="宋体"/>
                <w:szCs w:val="21"/>
              </w:rPr>
              <w:t>贡格尔河</w:t>
            </w:r>
          </w:p>
        </w:tc>
        <w:tc>
          <w:tcPr>
            <w:tcW w:w="2004" w:type="dxa"/>
            <w:gridSpan w:val="3"/>
            <w:tcBorders>
              <w:top w:val="single" w:color="auto" w:sz="4" w:space="0"/>
              <w:left w:val="single" w:color="auto" w:sz="4" w:space="0"/>
              <w:bottom w:val="single" w:color="auto" w:sz="4" w:space="0"/>
              <w:right w:val="single" w:color="auto" w:sz="4" w:space="0"/>
            </w:tcBorders>
            <w:noWrap/>
            <w:vAlign w:val="center"/>
          </w:tcPr>
          <w:p w14:paraId="08DB9A12">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04" w:type="dxa"/>
            <w:gridSpan w:val="3"/>
            <w:tcBorders>
              <w:top w:val="single" w:color="auto" w:sz="4" w:space="0"/>
              <w:left w:val="single" w:color="auto" w:sz="4" w:space="0"/>
              <w:bottom w:val="single" w:color="auto" w:sz="4" w:space="0"/>
              <w:right w:val="single" w:color="auto" w:sz="4" w:space="0"/>
            </w:tcBorders>
            <w:noWrap/>
            <w:vAlign w:val="center"/>
          </w:tcPr>
          <w:p w14:paraId="58C47229">
            <w:pPr>
              <w:adjustRightInd w:val="0"/>
              <w:snapToGrid w:val="0"/>
              <w:spacing w:line="240" w:lineRule="auto"/>
              <w:ind w:firstLine="0" w:firstLineChars="0"/>
              <w:rPr>
                <w:rFonts w:ascii="宋体" w:hAnsi="宋体"/>
                <w:szCs w:val="21"/>
              </w:rPr>
            </w:pPr>
            <w:r>
              <w:rPr>
                <w:rFonts w:hint="eastAsia" w:ascii="宋体" w:hAnsi="宋体"/>
                <w:szCs w:val="21"/>
              </w:rPr>
              <w:t>克旗水利局</w:t>
            </w:r>
          </w:p>
        </w:tc>
      </w:tr>
      <w:tr w14:paraId="2A70505A">
        <w:tblPrEx>
          <w:tblCellMar>
            <w:top w:w="0" w:type="dxa"/>
            <w:left w:w="108" w:type="dxa"/>
            <w:bottom w:w="0" w:type="dxa"/>
            <w:right w:w="108" w:type="dxa"/>
          </w:tblCellMar>
        </w:tblPrEx>
        <w:trPr>
          <w:trHeight w:val="340" w:hRule="exact"/>
          <w:jc w:val="center"/>
        </w:trPr>
        <w:tc>
          <w:tcPr>
            <w:tcW w:w="1970" w:type="dxa"/>
            <w:gridSpan w:val="5"/>
            <w:tcBorders>
              <w:top w:val="single" w:color="auto" w:sz="4" w:space="0"/>
              <w:left w:val="single" w:color="auto" w:sz="4" w:space="0"/>
              <w:bottom w:val="single" w:color="auto" w:sz="4" w:space="0"/>
              <w:right w:val="single" w:color="auto" w:sz="4" w:space="0"/>
            </w:tcBorders>
            <w:noWrap/>
            <w:vAlign w:val="center"/>
          </w:tcPr>
          <w:p w14:paraId="15F062D0">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226" w:type="dxa"/>
            <w:gridSpan w:val="5"/>
            <w:tcBorders>
              <w:top w:val="single" w:color="auto" w:sz="4" w:space="0"/>
              <w:left w:val="single" w:color="auto" w:sz="4" w:space="0"/>
              <w:bottom w:val="single" w:color="auto" w:sz="4" w:space="0"/>
              <w:right w:val="single" w:color="auto" w:sz="4" w:space="0"/>
            </w:tcBorders>
            <w:noWrap/>
            <w:vAlign w:val="center"/>
          </w:tcPr>
          <w:p w14:paraId="2F2E25EB">
            <w:pPr>
              <w:adjustRightInd w:val="0"/>
              <w:snapToGrid w:val="0"/>
              <w:spacing w:line="240" w:lineRule="auto"/>
              <w:ind w:firstLine="0" w:firstLineChars="0"/>
              <w:rPr>
                <w:rFonts w:ascii="宋体" w:hAnsi="宋体"/>
                <w:szCs w:val="21"/>
              </w:rPr>
            </w:pPr>
            <w:r>
              <w:rPr>
                <w:rFonts w:hint="eastAsia" w:ascii="宋体" w:hAnsi="宋体"/>
                <w:szCs w:val="21"/>
              </w:rPr>
              <w:t>浆砌石重力坝</w:t>
            </w:r>
          </w:p>
        </w:tc>
        <w:tc>
          <w:tcPr>
            <w:tcW w:w="1175" w:type="dxa"/>
            <w:tcBorders>
              <w:top w:val="single" w:color="auto" w:sz="4" w:space="0"/>
              <w:left w:val="single" w:color="auto" w:sz="4" w:space="0"/>
              <w:bottom w:val="single" w:color="auto" w:sz="4" w:space="0"/>
              <w:right w:val="single" w:color="auto" w:sz="4" w:space="0"/>
            </w:tcBorders>
            <w:noWrap/>
            <w:vAlign w:val="center"/>
          </w:tcPr>
          <w:p w14:paraId="70F8E217">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29" w:type="dxa"/>
            <w:gridSpan w:val="2"/>
            <w:tcBorders>
              <w:top w:val="single" w:color="auto" w:sz="4" w:space="0"/>
              <w:left w:val="single" w:color="auto" w:sz="4" w:space="0"/>
              <w:bottom w:val="single" w:color="auto" w:sz="4" w:space="0"/>
              <w:right w:val="single" w:color="auto" w:sz="4" w:space="0"/>
            </w:tcBorders>
            <w:noWrap/>
            <w:vAlign w:val="center"/>
          </w:tcPr>
          <w:p w14:paraId="005C0392">
            <w:pPr>
              <w:adjustRightInd w:val="0"/>
              <w:snapToGrid w:val="0"/>
              <w:spacing w:line="240" w:lineRule="auto"/>
              <w:ind w:firstLine="0" w:firstLineChars="0"/>
              <w:rPr>
                <w:rFonts w:ascii="宋体" w:hAnsi="宋体"/>
                <w:szCs w:val="21"/>
              </w:rPr>
            </w:pPr>
            <w:r>
              <w:rPr>
                <w:rFonts w:hint="eastAsia" w:ascii="宋体" w:hAnsi="宋体"/>
                <w:szCs w:val="21"/>
              </w:rPr>
              <w:t>109米</w:t>
            </w:r>
          </w:p>
        </w:tc>
      </w:tr>
      <w:tr w14:paraId="77DBEBB3">
        <w:tblPrEx>
          <w:tblCellMar>
            <w:top w:w="0" w:type="dxa"/>
            <w:left w:w="108" w:type="dxa"/>
            <w:bottom w:w="0" w:type="dxa"/>
            <w:right w:w="108" w:type="dxa"/>
          </w:tblCellMar>
        </w:tblPrEx>
        <w:trPr>
          <w:trHeight w:val="340" w:hRule="exact"/>
          <w:jc w:val="center"/>
        </w:trPr>
        <w:tc>
          <w:tcPr>
            <w:tcW w:w="1605" w:type="dxa"/>
            <w:gridSpan w:val="3"/>
            <w:tcBorders>
              <w:top w:val="single" w:color="auto" w:sz="4" w:space="0"/>
              <w:left w:val="single" w:color="auto" w:sz="4" w:space="0"/>
              <w:bottom w:val="single" w:color="auto" w:sz="4" w:space="0"/>
              <w:right w:val="single" w:color="auto" w:sz="4" w:space="0"/>
            </w:tcBorders>
            <w:noWrap/>
            <w:vAlign w:val="center"/>
          </w:tcPr>
          <w:p w14:paraId="475A749C">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064" w:type="dxa"/>
            <w:gridSpan w:val="5"/>
            <w:tcBorders>
              <w:top w:val="single" w:color="auto" w:sz="4" w:space="0"/>
              <w:left w:val="single" w:color="auto" w:sz="4" w:space="0"/>
              <w:bottom w:val="single" w:color="auto" w:sz="4" w:space="0"/>
              <w:right w:val="single" w:color="auto" w:sz="4" w:space="0"/>
            </w:tcBorders>
            <w:noWrap/>
            <w:vAlign w:val="center"/>
          </w:tcPr>
          <w:p w14:paraId="00CEEE54">
            <w:pPr>
              <w:adjustRightInd w:val="0"/>
              <w:snapToGrid w:val="0"/>
              <w:spacing w:line="240" w:lineRule="auto"/>
              <w:ind w:firstLine="0" w:firstLineChars="0"/>
              <w:rPr>
                <w:rFonts w:ascii="宋体" w:hAnsi="宋体"/>
                <w:szCs w:val="21"/>
              </w:rPr>
            </w:pPr>
            <w:r>
              <w:rPr>
                <w:rFonts w:hint="eastAsia" w:ascii="宋体" w:hAnsi="宋体"/>
                <w:szCs w:val="21"/>
              </w:rPr>
              <w:t>1401万m³</w:t>
            </w:r>
          </w:p>
        </w:tc>
        <w:tc>
          <w:tcPr>
            <w:tcW w:w="2702" w:type="dxa"/>
            <w:gridSpan w:val="3"/>
            <w:tcBorders>
              <w:top w:val="single" w:color="auto" w:sz="4" w:space="0"/>
              <w:left w:val="single" w:color="auto" w:sz="4" w:space="0"/>
              <w:bottom w:val="single" w:color="auto" w:sz="4" w:space="0"/>
              <w:right w:val="single" w:color="auto" w:sz="4" w:space="0"/>
            </w:tcBorders>
            <w:noWrap/>
            <w:vAlign w:val="center"/>
          </w:tcPr>
          <w:p w14:paraId="45EA46C3">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29" w:type="dxa"/>
            <w:gridSpan w:val="2"/>
            <w:tcBorders>
              <w:top w:val="single" w:color="auto" w:sz="4" w:space="0"/>
              <w:left w:val="single" w:color="auto" w:sz="4" w:space="0"/>
              <w:bottom w:val="single" w:color="auto" w:sz="4" w:space="0"/>
              <w:right w:val="single" w:color="auto" w:sz="4" w:space="0"/>
            </w:tcBorders>
            <w:noWrap/>
            <w:vAlign w:val="center"/>
          </w:tcPr>
          <w:p w14:paraId="73C52B4A">
            <w:pPr>
              <w:adjustRightInd w:val="0"/>
              <w:snapToGrid w:val="0"/>
              <w:spacing w:line="240" w:lineRule="auto"/>
              <w:ind w:firstLine="0" w:firstLineChars="0"/>
              <w:rPr>
                <w:rFonts w:ascii="宋体" w:hAnsi="宋体"/>
                <w:szCs w:val="21"/>
              </w:rPr>
            </w:pPr>
            <w:r>
              <w:rPr>
                <w:rFonts w:hint="eastAsia" w:ascii="宋体" w:hAnsi="宋体"/>
                <w:szCs w:val="21"/>
              </w:rPr>
              <w:t>1398.59米</w:t>
            </w:r>
          </w:p>
        </w:tc>
      </w:tr>
      <w:tr w14:paraId="55233F9B">
        <w:tblPrEx>
          <w:tblCellMar>
            <w:top w:w="0" w:type="dxa"/>
            <w:left w:w="108" w:type="dxa"/>
            <w:bottom w:w="0" w:type="dxa"/>
            <w:right w:w="108" w:type="dxa"/>
          </w:tblCellMar>
        </w:tblPrEx>
        <w:trPr>
          <w:trHeight w:val="340" w:hRule="exact"/>
          <w:jc w:val="center"/>
        </w:trPr>
        <w:tc>
          <w:tcPr>
            <w:tcW w:w="1902" w:type="dxa"/>
            <w:gridSpan w:val="4"/>
            <w:tcBorders>
              <w:top w:val="single" w:color="auto" w:sz="4" w:space="0"/>
              <w:left w:val="single" w:color="auto" w:sz="4" w:space="0"/>
              <w:bottom w:val="single" w:color="auto" w:sz="4" w:space="0"/>
              <w:right w:val="single" w:color="auto" w:sz="4" w:space="0"/>
            </w:tcBorders>
            <w:noWrap/>
            <w:vAlign w:val="center"/>
          </w:tcPr>
          <w:p w14:paraId="74A90327">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767" w:type="dxa"/>
            <w:gridSpan w:val="4"/>
            <w:tcBorders>
              <w:top w:val="single" w:color="auto" w:sz="4" w:space="0"/>
              <w:left w:val="single" w:color="auto" w:sz="4" w:space="0"/>
              <w:bottom w:val="single" w:color="auto" w:sz="4" w:space="0"/>
              <w:right w:val="single" w:color="auto" w:sz="4" w:space="0"/>
            </w:tcBorders>
            <w:noWrap/>
            <w:vAlign w:val="center"/>
          </w:tcPr>
          <w:p w14:paraId="141FCC98">
            <w:pPr>
              <w:adjustRightInd w:val="0"/>
              <w:snapToGrid w:val="0"/>
              <w:spacing w:line="240" w:lineRule="auto"/>
              <w:ind w:firstLine="0" w:firstLineChars="0"/>
              <w:rPr>
                <w:rFonts w:ascii="宋体" w:hAnsi="宋体"/>
                <w:szCs w:val="21"/>
              </w:rPr>
            </w:pPr>
            <w:r>
              <w:rPr>
                <w:rFonts w:hint="eastAsia" w:ascii="宋体" w:hAnsi="宋体"/>
                <w:szCs w:val="21"/>
              </w:rPr>
              <w:t>1401.69米</w:t>
            </w:r>
          </w:p>
        </w:tc>
        <w:tc>
          <w:tcPr>
            <w:tcW w:w="2702" w:type="dxa"/>
            <w:gridSpan w:val="3"/>
            <w:tcBorders>
              <w:top w:val="single" w:color="auto" w:sz="4" w:space="0"/>
              <w:left w:val="single" w:color="auto" w:sz="4" w:space="0"/>
              <w:bottom w:val="single" w:color="auto" w:sz="4" w:space="0"/>
              <w:right w:val="single" w:color="auto" w:sz="4" w:space="0"/>
            </w:tcBorders>
            <w:noWrap/>
            <w:vAlign w:val="center"/>
          </w:tcPr>
          <w:p w14:paraId="63490E02">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29" w:type="dxa"/>
            <w:gridSpan w:val="2"/>
            <w:tcBorders>
              <w:top w:val="single" w:color="auto" w:sz="4" w:space="0"/>
              <w:left w:val="single" w:color="auto" w:sz="4" w:space="0"/>
              <w:bottom w:val="single" w:color="auto" w:sz="4" w:space="0"/>
              <w:right w:val="single" w:color="auto" w:sz="4" w:space="0"/>
            </w:tcBorders>
            <w:noWrap/>
            <w:vAlign w:val="center"/>
          </w:tcPr>
          <w:p w14:paraId="1AE2D149">
            <w:pPr>
              <w:adjustRightInd w:val="0"/>
              <w:snapToGrid w:val="0"/>
              <w:spacing w:line="240" w:lineRule="auto"/>
              <w:ind w:firstLine="0" w:firstLineChars="0"/>
              <w:rPr>
                <w:rFonts w:ascii="宋体" w:hAnsi="宋体"/>
                <w:szCs w:val="21"/>
              </w:rPr>
            </w:pPr>
            <w:r>
              <w:rPr>
                <w:rFonts w:hint="eastAsia" w:ascii="宋体" w:hAnsi="宋体"/>
                <w:szCs w:val="21"/>
              </w:rPr>
              <w:t>29.1米</w:t>
            </w:r>
          </w:p>
        </w:tc>
      </w:tr>
      <w:tr w14:paraId="7B983E67">
        <w:tblPrEx>
          <w:tblCellMar>
            <w:top w:w="0" w:type="dxa"/>
            <w:left w:w="108" w:type="dxa"/>
            <w:bottom w:w="0" w:type="dxa"/>
            <w:right w:w="108" w:type="dxa"/>
          </w:tblCellMar>
        </w:tblPrEx>
        <w:trPr>
          <w:trHeight w:val="401" w:hRule="exact"/>
          <w:jc w:val="center"/>
        </w:trPr>
        <w:tc>
          <w:tcPr>
            <w:tcW w:w="1520" w:type="dxa"/>
            <w:gridSpan w:val="2"/>
            <w:tcBorders>
              <w:top w:val="single" w:color="auto" w:sz="4" w:space="0"/>
              <w:left w:val="single" w:color="auto" w:sz="4" w:space="0"/>
              <w:bottom w:val="single" w:color="auto" w:sz="4" w:space="0"/>
              <w:right w:val="single" w:color="auto" w:sz="4" w:space="0"/>
            </w:tcBorders>
            <w:noWrap/>
            <w:vAlign w:val="center"/>
          </w:tcPr>
          <w:p w14:paraId="4303E945">
            <w:pPr>
              <w:adjustRightInd w:val="0"/>
              <w:snapToGrid w:val="0"/>
              <w:spacing w:line="240" w:lineRule="auto"/>
              <w:ind w:firstLine="0" w:firstLineChars="0"/>
              <w:rPr>
                <w:rFonts w:ascii="宋体" w:hAnsi="宋体"/>
                <w:szCs w:val="21"/>
              </w:rPr>
            </w:pPr>
            <w:r>
              <w:rPr>
                <w:rFonts w:hint="eastAsia" w:ascii="宋体" w:hAnsi="宋体"/>
                <w:szCs w:val="21"/>
              </w:rPr>
              <w:t>泄洪建筑物</w:t>
            </w:r>
          </w:p>
        </w:tc>
        <w:tc>
          <w:tcPr>
            <w:tcW w:w="7880" w:type="dxa"/>
            <w:gridSpan w:val="11"/>
            <w:tcBorders>
              <w:top w:val="single" w:color="auto" w:sz="4" w:space="0"/>
              <w:left w:val="single" w:color="auto" w:sz="4" w:space="0"/>
              <w:bottom w:val="single" w:color="auto" w:sz="4" w:space="0"/>
              <w:right w:val="single" w:color="auto" w:sz="4" w:space="0"/>
            </w:tcBorders>
            <w:noWrap/>
            <w:vAlign w:val="center"/>
          </w:tcPr>
          <w:p w14:paraId="594312C9">
            <w:pPr>
              <w:adjustRightInd w:val="0"/>
              <w:snapToGrid w:val="0"/>
              <w:spacing w:line="240" w:lineRule="auto"/>
              <w:ind w:firstLine="0" w:firstLineChars="0"/>
              <w:rPr>
                <w:rFonts w:ascii="宋体" w:hAnsi="宋体"/>
                <w:szCs w:val="21"/>
              </w:rPr>
            </w:pPr>
            <w:r>
              <w:rPr>
                <w:rFonts w:hint="eastAsia" w:ascii="宋体" w:hAnsi="宋体"/>
                <w:szCs w:val="21"/>
              </w:rPr>
              <w:t>开敞式溢洪道；校核泄洪流量140m³/s，设计泄洪流量62 m³</w:t>
            </w:r>
          </w:p>
        </w:tc>
      </w:tr>
      <w:tr w14:paraId="7794E35B">
        <w:tblPrEx>
          <w:tblCellMar>
            <w:top w:w="0" w:type="dxa"/>
            <w:left w:w="108" w:type="dxa"/>
            <w:bottom w:w="0" w:type="dxa"/>
            <w:right w:w="108" w:type="dxa"/>
          </w:tblCellMar>
        </w:tblPrEx>
        <w:trPr>
          <w:trHeight w:val="340" w:hRule="exact"/>
          <w:jc w:val="center"/>
        </w:trPr>
        <w:tc>
          <w:tcPr>
            <w:tcW w:w="3320" w:type="dxa"/>
            <w:gridSpan w:val="6"/>
            <w:tcBorders>
              <w:top w:val="single" w:color="auto" w:sz="4" w:space="0"/>
              <w:left w:val="single" w:color="auto" w:sz="4" w:space="0"/>
              <w:bottom w:val="single" w:color="auto" w:sz="4" w:space="0"/>
              <w:right w:val="single" w:color="auto" w:sz="4" w:space="0"/>
            </w:tcBorders>
            <w:noWrap/>
            <w:vAlign w:val="center"/>
          </w:tcPr>
          <w:p w14:paraId="1F98E536">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26" w:type="dxa"/>
            <w:gridSpan w:val="3"/>
            <w:tcBorders>
              <w:top w:val="single" w:color="auto" w:sz="4" w:space="0"/>
              <w:left w:val="single" w:color="auto" w:sz="4" w:space="0"/>
              <w:bottom w:val="single" w:color="auto" w:sz="4" w:space="0"/>
              <w:right w:val="single" w:color="auto" w:sz="4" w:space="0"/>
            </w:tcBorders>
            <w:noWrap/>
            <w:vAlign w:val="center"/>
          </w:tcPr>
          <w:p w14:paraId="0081D22B">
            <w:pPr>
              <w:adjustRightInd w:val="0"/>
              <w:snapToGrid w:val="0"/>
              <w:spacing w:line="240" w:lineRule="auto"/>
              <w:ind w:firstLine="0" w:firstLineChars="0"/>
              <w:rPr>
                <w:rFonts w:ascii="宋体" w:hAnsi="宋体"/>
                <w:szCs w:val="21"/>
              </w:rPr>
            </w:pPr>
            <w:r>
              <w:rPr>
                <w:rFonts w:hint="eastAsia" w:ascii="宋体" w:hAnsi="宋体"/>
                <w:szCs w:val="21"/>
              </w:rPr>
              <w:t>人工</w:t>
            </w:r>
          </w:p>
        </w:tc>
        <w:tc>
          <w:tcPr>
            <w:tcW w:w="2120" w:type="dxa"/>
            <w:gridSpan w:val="3"/>
            <w:tcBorders>
              <w:top w:val="single" w:color="auto" w:sz="4" w:space="0"/>
              <w:left w:val="single" w:color="auto" w:sz="4" w:space="0"/>
              <w:bottom w:val="single" w:color="auto" w:sz="4" w:space="0"/>
              <w:right w:val="single" w:color="auto" w:sz="4" w:space="0"/>
            </w:tcBorders>
            <w:noWrap/>
            <w:vAlign w:val="center"/>
          </w:tcPr>
          <w:p w14:paraId="2AF005ED">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34" w:type="dxa"/>
            <w:tcBorders>
              <w:top w:val="single" w:color="auto" w:sz="4" w:space="0"/>
              <w:left w:val="single" w:color="auto" w:sz="4" w:space="0"/>
              <w:bottom w:val="single" w:color="auto" w:sz="4" w:space="0"/>
              <w:right w:val="single" w:color="auto" w:sz="4" w:space="0"/>
            </w:tcBorders>
            <w:noWrap/>
            <w:vAlign w:val="center"/>
          </w:tcPr>
          <w:p w14:paraId="088441A8">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0DCA723D">
        <w:tblPrEx>
          <w:tblCellMar>
            <w:top w:w="0" w:type="dxa"/>
            <w:left w:w="108" w:type="dxa"/>
            <w:bottom w:w="0" w:type="dxa"/>
            <w:right w:w="108" w:type="dxa"/>
          </w:tblCellMar>
        </w:tblPrEx>
        <w:trPr>
          <w:trHeight w:val="340" w:hRule="exact"/>
          <w:jc w:val="center"/>
        </w:trPr>
        <w:tc>
          <w:tcPr>
            <w:tcW w:w="1520" w:type="dxa"/>
            <w:gridSpan w:val="2"/>
            <w:tcBorders>
              <w:top w:val="single" w:color="auto" w:sz="4" w:space="0"/>
              <w:left w:val="single" w:color="auto" w:sz="4" w:space="0"/>
              <w:bottom w:val="single" w:color="auto" w:sz="4" w:space="0"/>
              <w:right w:val="single" w:color="auto" w:sz="4" w:space="0"/>
            </w:tcBorders>
            <w:noWrap/>
            <w:vAlign w:val="center"/>
          </w:tcPr>
          <w:p w14:paraId="021FD8F7">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826" w:type="dxa"/>
            <w:gridSpan w:val="7"/>
            <w:tcBorders>
              <w:top w:val="single" w:color="auto" w:sz="4" w:space="0"/>
              <w:left w:val="single" w:color="auto" w:sz="4" w:space="0"/>
              <w:bottom w:val="single" w:color="auto" w:sz="4" w:space="0"/>
              <w:right w:val="single" w:color="auto" w:sz="4" w:space="0"/>
            </w:tcBorders>
            <w:noWrap/>
            <w:vAlign w:val="center"/>
          </w:tcPr>
          <w:p w14:paraId="61D50A53">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54" w:type="dxa"/>
            <w:gridSpan w:val="4"/>
            <w:vMerge w:val="restart"/>
            <w:tcBorders>
              <w:top w:val="single" w:color="auto" w:sz="4" w:space="0"/>
              <w:left w:val="single" w:color="auto" w:sz="4" w:space="0"/>
              <w:bottom w:val="single" w:color="auto" w:sz="4" w:space="0"/>
              <w:right w:val="single" w:color="auto" w:sz="4" w:space="0"/>
            </w:tcBorders>
            <w:noWrap/>
            <w:vAlign w:val="center"/>
          </w:tcPr>
          <w:p w14:paraId="7BBD2EDA">
            <w:pPr>
              <w:adjustRightInd w:val="0"/>
              <w:snapToGrid w:val="0"/>
              <w:spacing w:line="240" w:lineRule="auto"/>
              <w:ind w:firstLine="0" w:firstLineChars="0"/>
              <w:rPr>
                <w:rFonts w:ascii="宋体" w:hAnsi="宋体"/>
                <w:szCs w:val="21"/>
              </w:rPr>
            </w:pPr>
            <w:r>
              <w:rPr>
                <w:rFonts w:hint="eastAsia" w:ascii="宋体" w:hAnsi="宋体"/>
                <w:szCs w:val="21"/>
              </w:rPr>
              <w:t>汛限水位:1398.59米</w:t>
            </w:r>
          </w:p>
        </w:tc>
      </w:tr>
      <w:tr w14:paraId="3472FF77">
        <w:tblPrEx>
          <w:tblCellMar>
            <w:top w:w="0" w:type="dxa"/>
            <w:left w:w="108" w:type="dxa"/>
            <w:bottom w:w="0" w:type="dxa"/>
            <w:right w:w="108" w:type="dxa"/>
          </w:tblCellMar>
        </w:tblPrEx>
        <w:trPr>
          <w:trHeight w:val="340" w:hRule="exact"/>
          <w:jc w:val="center"/>
        </w:trPr>
        <w:tc>
          <w:tcPr>
            <w:tcW w:w="1520" w:type="dxa"/>
            <w:gridSpan w:val="2"/>
            <w:tcBorders>
              <w:top w:val="single" w:color="auto" w:sz="4" w:space="0"/>
              <w:left w:val="single" w:color="auto" w:sz="4" w:space="0"/>
              <w:bottom w:val="single" w:color="auto" w:sz="4" w:space="0"/>
              <w:right w:val="single" w:color="auto" w:sz="4" w:space="0"/>
            </w:tcBorders>
            <w:noWrap/>
            <w:vAlign w:val="center"/>
          </w:tcPr>
          <w:p w14:paraId="61FFD52B">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826" w:type="dxa"/>
            <w:gridSpan w:val="7"/>
            <w:tcBorders>
              <w:top w:val="single" w:color="auto" w:sz="4" w:space="0"/>
              <w:left w:val="single" w:color="auto" w:sz="4" w:space="0"/>
              <w:bottom w:val="single" w:color="auto" w:sz="4" w:space="0"/>
              <w:right w:val="single" w:color="auto" w:sz="4" w:space="0"/>
            </w:tcBorders>
            <w:noWrap/>
            <w:vAlign w:val="center"/>
          </w:tcPr>
          <w:p w14:paraId="36B939B9">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54" w:type="dxa"/>
            <w:gridSpan w:val="4"/>
            <w:vMerge w:val="continue"/>
            <w:tcBorders>
              <w:top w:val="single" w:color="auto" w:sz="4" w:space="0"/>
              <w:left w:val="single" w:color="auto" w:sz="4" w:space="0"/>
              <w:bottom w:val="single" w:color="auto" w:sz="4" w:space="0"/>
              <w:right w:val="single" w:color="auto" w:sz="4" w:space="0"/>
            </w:tcBorders>
            <w:noWrap/>
            <w:vAlign w:val="center"/>
          </w:tcPr>
          <w:p w14:paraId="48815B04">
            <w:pPr>
              <w:adjustRightInd w:val="0"/>
              <w:snapToGrid w:val="0"/>
              <w:spacing w:line="240" w:lineRule="auto"/>
              <w:ind w:firstLine="0" w:firstLineChars="0"/>
              <w:rPr>
                <w:rFonts w:ascii="宋体" w:hAnsi="宋体"/>
                <w:szCs w:val="21"/>
              </w:rPr>
            </w:pPr>
          </w:p>
        </w:tc>
      </w:tr>
      <w:tr w14:paraId="6204B532">
        <w:tblPrEx>
          <w:tblCellMar>
            <w:top w:w="0" w:type="dxa"/>
            <w:left w:w="108" w:type="dxa"/>
            <w:bottom w:w="0" w:type="dxa"/>
            <w:right w:w="108" w:type="dxa"/>
          </w:tblCellMar>
        </w:tblPrEx>
        <w:trPr>
          <w:trHeight w:val="1271" w:hRule="exact"/>
          <w:jc w:val="center"/>
        </w:trPr>
        <w:tc>
          <w:tcPr>
            <w:tcW w:w="842" w:type="dxa"/>
            <w:tcBorders>
              <w:top w:val="single" w:color="auto" w:sz="4" w:space="0"/>
              <w:left w:val="single" w:color="auto" w:sz="4" w:space="0"/>
              <w:bottom w:val="single" w:color="auto" w:sz="4" w:space="0"/>
              <w:right w:val="single" w:color="auto" w:sz="4" w:space="0"/>
            </w:tcBorders>
            <w:noWrap/>
            <w:vAlign w:val="center"/>
          </w:tcPr>
          <w:p w14:paraId="5A9F0DC5">
            <w:pPr>
              <w:adjustRightInd w:val="0"/>
              <w:snapToGrid w:val="0"/>
              <w:spacing w:line="240" w:lineRule="auto"/>
              <w:ind w:firstLine="0" w:firstLineChars="0"/>
              <w:rPr>
                <w:rFonts w:ascii="宋体" w:hAnsi="宋体"/>
                <w:szCs w:val="21"/>
              </w:rPr>
            </w:pPr>
            <w:r>
              <w:rPr>
                <w:rFonts w:hint="eastAsia" w:ascii="宋体" w:hAnsi="宋体"/>
                <w:szCs w:val="21"/>
              </w:rPr>
              <w:t>汛期调度方 式</w:t>
            </w:r>
          </w:p>
        </w:tc>
        <w:tc>
          <w:tcPr>
            <w:tcW w:w="8558" w:type="dxa"/>
            <w:gridSpan w:val="12"/>
            <w:tcBorders>
              <w:top w:val="single" w:color="auto" w:sz="4" w:space="0"/>
              <w:left w:val="single" w:color="auto" w:sz="4" w:space="0"/>
              <w:bottom w:val="single" w:color="auto" w:sz="4" w:space="0"/>
              <w:right w:val="single" w:color="auto" w:sz="4" w:space="0"/>
            </w:tcBorders>
            <w:noWrap/>
            <w:vAlign w:val="center"/>
          </w:tcPr>
          <w:p w14:paraId="4F7D7A89">
            <w:pPr>
              <w:adjustRightInd w:val="0"/>
              <w:snapToGrid w:val="0"/>
              <w:spacing w:line="240" w:lineRule="auto"/>
              <w:ind w:firstLine="0" w:firstLineChars="0"/>
              <w:rPr>
                <w:rFonts w:ascii="宋体" w:hAnsi="宋体"/>
                <w:szCs w:val="21"/>
              </w:rPr>
            </w:pPr>
            <w:r>
              <w:rPr>
                <w:rFonts w:hint="eastAsia" w:ascii="宋体" w:hAnsi="宋体"/>
                <w:szCs w:val="21"/>
              </w:rPr>
              <w:t>1、水位水库水位＜1397.59m时，水库蓄水；2、水位在1397.59m</w:t>
            </w:r>
            <w:r>
              <w:rPr>
                <w:rFonts w:hint="eastAsia" w:ascii="宋体" w:hAnsi="宋体"/>
                <w:szCs w:val="21"/>
                <w:lang w:eastAsia="zh-CN"/>
              </w:rPr>
              <w:t>～</w:t>
            </w:r>
            <w:r>
              <w:rPr>
                <w:rFonts w:hint="eastAsia" w:ascii="宋体" w:hAnsi="宋体"/>
                <w:szCs w:val="21"/>
              </w:rPr>
              <w:t>1398.59m之间；入库流量＜10m³/s时，来多少泄多少；入库流量≥10m³/s时，控泄100m³/s；3、控制闸门的开启，保持库水位为汛限水位，如来水量大于闸门全开时的泄量，从大坝溢流面溢流。</w:t>
            </w:r>
          </w:p>
        </w:tc>
      </w:tr>
      <w:tr w14:paraId="4C28867A">
        <w:tblPrEx>
          <w:tblCellMar>
            <w:top w:w="0" w:type="dxa"/>
            <w:left w:w="108" w:type="dxa"/>
            <w:bottom w:w="0" w:type="dxa"/>
            <w:right w:w="108" w:type="dxa"/>
          </w:tblCellMar>
        </w:tblPrEx>
        <w:trPr>
          <w:trHeight w:val="340" w:hRule="exact"/>
          <w:jc w:val="center"/>
        </w:trPr>
        <w:tc>
          <w:tcPr>
            <w:tcW w:w="1902" w:type="dxa"/>
            <w:gridSpan w:val="4"/>
            <w:tcBorders>
              <w:top w:val="single" w:color="auto" w:sz="4" w:space="0"/>
              <w:left w:val="single" w:color="auto" w:sz="4" w:space="0"/>
              <w:bottom w:val="single" w:color="auto" w:sz="4" w:space="0"/>
              <w:right w:val="single" w:color="auto" w:sz="4" w:space="0"/>
            </w:tcBorders>
            <w:noWrap/>
            <w:vAlign w:val="center"/>
          </w:tcPr>
          <w:p w14:paraId="5249AA9D">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98" w:type="dxa"/>
            <w:gridSpan w:val="9"/>
            <w:tcBorders>
              <w:top w:val="single" w:color="auto" w:sz="4" w:space="0"/>
              <w:left w:val="single" w:color="auto" w:sz="4" w:space="0"/>
              <w:bottom w:val="single" w:color="auto" w:sz="4" w:space="0"/>
              <w:right w:val="single" w:color="auto" w:sz="4" w:space="0"/>
            </w:tcBorders>
            <w:noWrap/>
            <w:vAlign w:val="center"/>
          </w:tcPr>
          <w:p w14:paraId="56B5C0EA">
            <w:pPr>
              <w:adjustRightInd w:val="0"/>
              <w:snapToGrid w:val="0"/>
              <w:spacing w:line="240" w:lineRule="auto"/>
              <w:ind w:firstLine="0" w:firstLineChars="0"/>
              <w:rPr>
                <w:rFonts w:ascii="宋体" w:hAnsi="宋体"/>
                <w:szCs w:val="21"/>
              </w:rPr>
            </w:pPr>
            <w:r>
              <w:rPr>
                <w:rFonts w:hint="eastAsia" w:ascii="宋体" w:hAnsi="宋体"/>
                <w:szCs w:val="21"/>
              </w:rPr>
              <w:t>村庄24个，人口约1.6万人，3个苏木，2个自然保护区，一个国营林场</w:t>
            </w:r>
          </w:p>
        </w:tc>
      </w:tr>
    </w:tbl>
    <w:p w14:paraId="69D9F014">
      <w:pPr>
        <w:spacing w:line="240" w:lineRule="auto"/>
        <w:ind w:firstLine="0" w:firstLineChars="0"/>
        <w:jc w:val="center"/>
        <w:rPr>
          <w:rFonts w:hint="eastAsia" w:ascii="宋体" w:hAnsi="宋体"/>
          <w:b/>
          <w:sz w:val="32"/>
          <w:szCs w:val="32"/>
        </w:rPr>
      </w:pPr>
    </w:p>
    <w:p w14:paraId="113F07E2">
      <w:pPr>
        <w:spacing w:line="240" w:lineRule="auto"/>
        <w:ind w:firstLine="0" w:firstLineChars="0"/>
        <w:jc w:val="center"/>
        <w:rPr>
          <w:rFonts w:ascii="宋体" w:hAnsi="宋体"/>
          <w:b/>
          <w:sz w:val="32"/>
          <w:szCs w:val="32"/>
        </w:rPr>
      </w:pPr>
      <w:r>
        <w:rPr>
          <w:rFonts w:hint="eastAsia" w:ascii="宋体" w:hAnsi="宋体"/>
          <w:b/>
          <w:sz w:val="32"/>
          <w:szCs w:val="32"/>
        </w:rPr>
        <w:t>上湾子Ⅰ级水库安全度汛明白卡</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724"/>
        <w:gridCol w:w="23"/>
        <w:gridCol w:w="11"/>
        <w:gridCol w:w="297"/>
        <w:gridCol w:w="39"/>
        <w:gridCol w:w="43"/>
        <w:gridCol w:w="1337"/>
        <w:gridCol w:w="961"/>
        <w:gridCol w:w="318"/>
        <w:gridCol w:w="11"/>
        <w:gridCol w:w="752"/>
        <w:gridCol w:w="829"/>
        <w:gridCol w:w="1216"/>
        <w:gridCol w:w="60"/>
        <w:gridCol w:w="1936"/>
      </w:tblGrid>
      <w:tr w14:paraId="4ED9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78" w:type="dxa"/>
            <w:gridSpan w:val="9"/>
            <w:noWrap/>
            <w:vAlign w:val="center"/>
          </w:tcPr>
          <w:p w14:paraId="053C8E49">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22" w:type="dxa"/>
            <w:gridSpan w:val="7"/>
            <w:noWrap/>
            <w:vAlign w:val="center"/>
          </w:tcPr>
          <w:p w14:paraId="4BC8FA58">
            <w:pPr>
              <w:adjustRightInd w:val="0"/>
              <w:snapToGrid w:val="0"/>
              <w:spacing w:line="240" w:lineRule="auto"/>
              <w:ind w:firstLine="0" w:firstLineChars="0"/>
              <w:rPr>
                <w:rFonts w:ascii="宋体" w:hAnsi="宋体"/>
                <w:szCs w:val="21"/>
              </w:rPr>
            </w:pPr>
            <w:r>
              <w:rPr>
                <w:rFonts w:hint="eastAsia" w:ascii="宋体" w:hAnsi="宋体"/>
                <w:szCs w:val="21"/>
              </w:rPr>
              <w:t>克旗红山子乡双河旺村</w:t>
            </w:r>
          </w:p>
        </w:tc>
      </w:tr>
      <w:tr w14:paraId="494A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0" w:type="dxa"/>
            <w:gridSpan w:val="7"/>
            <w:tcBorders>
              <w:right w:val="single" w:color="auto" w:sz="4" w:space="0"/>
            </w:tcBorders>
            <w:noWrap/>
            <w:vAlign w:val="center"/>
          </w:tcPr>
          <w:p w14:paraId="18B05116">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420" w:type="dxa"/>
            <w:gridSpan w:val="9"/>
            <w:tcBorders>
              <w:left w:val="single" w:color="auto" w:sz="4" w:space="0"/>
            </w:tcBorders>
            <w:noWrap/>
            <w:vAlign w:val="center"/>
          </w:tcPr>
          <w:p w14:paraId="77AE894D">
            <w:pPr>
              <w:adjustRightInd w:val="0"/>
              <w:snapToGrid w:val="0"/>
              <w:spacing w:line="240" w:lineRule="auto"/>
              <w:ind w:firstLine="0" w:firstLineChars="0"/>
              <w:rPr>
                <w:rFonts w:ascii="宋体" w:hAnsi="宋体"/>
                <w:szCs w:val="21"/>
              </w:rPr>
            </w:pPr>
            <w:r>
              <w:rPr>
                <w:rFonts w:hint="eastAsia" w:ascii="宋体" w:hAnsi="宋体"/>
                <w:szCs w:val="21"/>
              </w:rPr>
              <w:t>防洪、发电、养殖</w:t>
            </w:r>
          </w:p>
        </w:tc>
      </w:tr>
      <w:tr w14:paraId="1AFE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0" w:type="dxa"/>
            <w:gridSpan w:val="7"/>
            <w:tcBorders>
              <w:right w:val="single" w:color="auto" w:sz="4" w:space="0"/>
            </w:tcBorders>
            <w:noWrap/>
            <w:vAlign w:val="center"/>
          </w:tcPr>
          <w:p w14:paraId="79A364C9">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298" w:type="dxa"/>
            <w:gridSpan w:val="2"/>
            <w:tcBorders>
              <w:left w:val="single" w:color="auto" w:sz="4" w:space="0"/>
            </w:tcBorders>
            <w:noWrap/>
            <w:vAlign w:val="center"/>
          </w:tcPr>
          <w:p w14:paraId="740F90F5">
            <w:pPr>
              <w:adjustRightInd w:val="0"/>
              <w:snapToGrid w:val="0"/>
              <w:spacing w:line="240" w:lineRule="auto"/>
              <w:ind w:firstLine="0" w:firstLineChars="0"/>
              <w:rPr>
                <w:rFonts w:ascii="宋体" w:hAnsi="宋体"/>
                <w:szCs w:val="21"/>
              </w:rPr>
            </w:pPr>
            <w:r>
              <w:rPr>
                <w:rFonts w:hint="eastAsia" w:ascii="宋体" w:hAnsi="宋体"/>
                <w:szCs w:val="21"/>
              </w:rPr>
              <w:t>萨岭河</w:t>
            </w:r>
          </w:p>
        </w:tc>
        <w:tc>
          <w:tcPr>
            <w:tcW w:w="1910" w:type="dxa"/>
            <w:gridSpan w:val="4"/>
            <w:tcBorders>
              <w:top w:val="single" w:color="auto" w:sz="4" w:space="0"/>
              <w:bottom w:val="single" w:color="auto" w:sz="4" w:space="0"/>
              <w:right w:val="single" w:color="auto" w:sz="4" w:space="0"/>
            </w:tcBorders>
            <w:noWrap/>
            <w:vAlign w:val="center"/>
          </w:tcPr>
          <w:p w14:paraId="503CA0DD">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12" w:type="dxa"/>
            <w:gridSpan w:val="3"/>
            <w:tcBorders>
              <w:top w:val="single" w:color="auto" w:sz="4" w:space="0"/>
              <w:bottom w:val="single" w:color="auto" w:sz="4" w:space="0"/>
            </w:tcBorders>
            <w:noWrap/>
            <w:vAlign w:val="center"/>
          </w:tcPr>
          <w:p w14:paraId="6951F6AE">
            <w:pPr>
              <w:adjustRightInd w:val="0"/>
              <w:snapToGrid w:val="0"/>
              <w:spacing w:line="240" w:lineRule="auto"/>
              <w:ind w:firstLine="0" w:firstLineChars="0"/>
              <w:rPr>
                <w:rFonts w:ascii="宋体" w:hAnsi="宋体"/>
                <w:szCs w:val="21"/>
              </w:rPr>
            </w:pPr>
            <w:r>
              <w:rPr>
                <w:rFonts w:hint="eastAsia" w:ascii="宋体" w:hAnsi="宋体"/>
                <w:szCs w:val="21"/>
              </w:rPr>
              <w:t>内蒙古水务投资集团公司</w:t>
            </w:r>
          </w:p>
        </w:tc>
      </w:tr>
      <w:tr w14:paraId="0E3E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0" w:type="dxa"/>
            <w:gridSpan w:val="7"/>
            <w:noWrap/>
            <w:vAlign w:val="center"/>
          </w:tcPr>
          <w:p w14:paraId="2E7FA079">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208" w:type="dxa"/>
            <w:gridSpan w:val="6"/>
            <w:tcBorders>
              <w:right w:val="single" w:color="auto" w:sz="4" w:space="0"/>
            </w:tcBorders>
            <w:noWrap/>
            <w:vAlign w:val="center"/>
          </w:tcPr>
          <w:p w14:paraId="5896C3A7">
            <w:pPr>
              <w:adjustRightInd w:val="0"/>
              <w:snapToGrid w:val="0"/>
              <w:spacing w:line="240" w:lineRule="auto"/>
              <w:ind w:firstLine="0" w:firstLineChars="0"/>
              <w:rPr>
                <w:rFonts w:ascii="宋体" w:hAnsi="宋体"/>
                <w:szCs w:val="21"/>
              </w:rPr>
            </w:pPr>
            <w:r>
              <w:rPr>
                <w:rFonts w:hint="eastAsia" w:ascii="宋体" w:hAnsi="宋体"/>
                <w:szCs w:val="21"/>
              </w:rPr>
              <w:t>浆砌石重力坝</w:t>
            </w:r>
          </w:p>
        </w:tc>
        <w:tc>
          <w:tcPr>
            <w:tcW w:w="1216" w:type="dxa"/>
            <w:tcBorders>
              <w:left w:val="single" w:color="auto" w:sz="4" w:space="0"/>
              <w:right w:val="single" w:color="auto" w:sz="4" w:space="0"/>
            </w:tcBorders>
            <w:noWrap/>
            <w:vAlign w:val="center"/>
          </w:tcPr>
          <w:p w14:paraId="50C20CD4">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1996" w:type="dxa"/>
            <w:gridSpan w:val="2"/>
            <w:tcBorders>
              <w:left w:val="single" w:color="auto" w:sz="4" w:space="0"/>
            </w:tcBorders>
            <w:noWrap/>
            <w:vAlign w:val="center"/>
          </w:tcPr>
          <w:p w14:paraId="482D5C50">
            <w:pPr>
              <w:adjustRightInd w:val="0"/>
              <w:snapToGrid w:val="0"/>
              <w:spacing w:line="240" w:lineRule="auto"/>
              <w:ind w:firstLine="0" w:firstLineChars="0"/>
              <w:rPr>
                <w:rFonts w:ascii="宋体" w:hAnsi="宋体"/>
                <w:szCs w:val="21"/>
              </w:rPr>
            </w:pPr>
            <w:r>
              <w:rPr>
                <w:rFonts w:hint="eastAsia" w:ascii="宋体" w:hAnsi="宋体"/>
                <w:szCs w:val="21"/>
              </w:rPr>
              <w:t>88米</w:t>
            </w:r>
          </w:p>
        </w:tc>
      </w:tr>
      <w:tr w14:paraId="7DE9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01" w:type="dxa"/>
            <w:gridSpan w:val="4"/>
            <w:tcBorders>
              <w:right w:val="single" w:color="auto" w:sz="4" w:space="0"/>
            </w:tcBorders>
            <w:noWrap/>
            <w:vAlign w:val="center"/>
          </w:tcPr>
          <w:p w14:paraId="6F0B19C8">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2995" w:type="dxa"/>
            <w:gridSpan w:val="6"/>
            <w:tcBorders>
              <w:left w:val="single" w:color="auto" w:sz="4" w:space="0"/>
              <w:right w:val="single" w:color="auto" w:sz="4" w:space="0"/>
            </w:tcBorders>
            <w:noWrap/>
            <w:vAlign w:val="center"/>
          </w:tcPr>
          <w:p w14:paraId="328B1ACC">
            <w:pPr>
              <w:adjustRightInd w:val="0"/>
              <w:snapToGrid w:val="0"/>
              <w:spacing w:line="240" w:lineRule="auto"/>
              <w:ind w:firstLine="0" w:firstLineChars="0"/>
              <w:rPr>
                <w:rFonts w:ascii="宋体" w:hAnsi="宋体"/>
                <w:szCs w:val="21"/>
              </w:rPr>
            </w:pPr>
            <w:r>
              <w:rPr>
                <w:rFonts w:hint="eastAsia" w:ascii="宋体" w:hAnsi="宋体"/>
                <w:szCs w:val="21"/>
              </w:rPr>
              <w:t>4140万m³</w:t>
            </w:r>
          </w:p>
        </w:tc>
        <w:tc>
          <w:tcPr>
            <w:tcW w:w="2808" w:type="dxa"/>
            <w:gridSpan w:val="4"/>
            <w:tcBorders>
              <w:left w:val="single" w:color="auto" w:sz="4" w:space="0"/>
              <w:right w:val="single" w:color="auto" w:sz="4" w:space="0"/>
            </w:tcBorders>
            <w:noWrap/>
            <w:vAlign w:val="center"/>
          </w:tcPr>
          <w:p w14:paraId="21A57035">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1996" w:type="dxa"/>
            <w:gridSpan w:val="2"/>
            <w:tcBorders>
              <w:left w:val="single" w:color="auto" w:sz="4" w:space="0"/>
            </w:tcBorders>
            <w:noWrap/>
            <w:vAlign w:val="center"/>
          </w:tcPr>
          <w:p w14:paraId="220CFA93">
            <w:pPr>
              <w:adjustRightInd w:val="0"/>
              <w:snapToGrid w:val="0"/>
              <w:spacing w:line="240" w:lineRule="auto"/>
              <w:ind w:firstLine="0" w:firstLineChars="0"/>
              <w:rPr>
                <w:rFonts w:ascii="宋体" w:hAnsi="宋体"/>
                <w:szCs w:val="21"/>
              </w:rPr>
            </w:pPr>
            <w:r>
              <w:rPr>
                <w:rFonts w:hint="eastAsia" w:ascii="宋体" w:hAnsi="宋体"/>
                <w:szCs w:val="21"/>
              </w:rPr>
              <w:t>1224.00米</w:t>
            </w:r>
          </w:p>
        </w:tc>
      </w:tr>
      <w:tr w14:paraId="234B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98" w:type="dxa"/>
            <w:gridSpan w:val="5"/>
            <w:noWrap/>
            <w:vAlign w:val="center"/>
          </w:tcPr>
          <w:p w14:paraId="01335B98">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709" w:type="dxa"/>
            <w:gridSpan w:val="6"/>
            <w:tcBorders>
              <w:right w:val="single" w:color="auto" w:sz="4" w:space="0"/>
            </w:tcBorders>
            <w:noWrap/>
            <w:vAlign w:val="center"/>
          </w:tcPr>
          <w:p w14:paraId="381CAE27">
            <w:pPr>
              <w:adjustRightInd w:val="0"/>
              <w:snapToGrid w:val="0"/>
              <w:spacing w:line="240" w:lineRule="auto"/>
              <w:ind w:firstLine="0" w:firstLineChars="0"/>
              <w:rPr>
                <w:rFonts w:ascii="宋体" w:hAnsi="宋体"/>
                <w:szCs w:val="21"/>
              </w:rPr>
            </w:pPr>
            <w:r>
              <w:rPr>
                <w:rFonts w:hint="eastAsia" w:ascii="宋体" w:hAnsi="宋体"/>
                <w:szCs w:val="21"/>
              </w:rPr>
              <w:t>1228.10米</w:t>
            </w:r>
          </w:p>
        </w:tc>
        <w:tc>
          <w:tcPr>
            <w:tcW w:w="2797" w:type="dxa"/>
            <w:gridSpan w:val="3"/>
            <w:tcBorders>
              <w:left w:val="single" w:color="auto" w:sz="4" w:space="0"/>
            </w:tcBorders>
            <w:noWrap/>
            <w:vAlign w:val="center"/>
          </w:tcPr>
          <w:p w14:paraId="493C2C92">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1996" w:type="dxa"/>
            <w:gridSpan w:val="2"/>
            <w:noWrap/>
            <w:vAlign w:val="center"/>
          </w:tcPr>
          <w:p w14:paraId="4E77D6F2">
            <w:pPr>
              <w:adjustRightInd w:val="0"/>
              <w:snapToGrid w:val="0"/>
              <w:spacing w:line="240" w:lineRule="auto"/>
              <w:ind w:firstLine="0" w:firstLineChars="0"/>
              <w:rPr>
                <w:rFonts w:ascii="宋体" w:hAnsi="宋体"/>
                <w:szCs w:val="21"/>
              </w:rPr>
            </w:pPr>
            <w:r>
              <w:rPr>
                <w:rFonts w:hint="eastAsia" w:ascii="宋体" w:hAnsi="宋体"/>
                <w:szCs w:val="21"/>
              </w:rPr>
              <w:t>47.0米</w:t>
            </w:r>
          </w:p>
        </w:tc>
      </w:tr>
      <w:tr w14:paraId="3F69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1590" w:type="dxa"/>
            <w:gridSpan w:val="3"/>
            <w:tcBorders>
              <w:right w:val="single" w:color="auto" w:sz="4" w:space="0"/>
            </w:tcBorders>
            <w:noWrap/>
            <w:vAlign w:val="center"/>
          </w:tcPr>
          <w:p w14:paraId="7FDBAFE1">
            <w:pPr>
              <w:adjustRightInd w:val="0"/>
              <w:snapToGrid w:val="0"/>
              <w:spacing w:line="240" w:lineRule="auto"/>
              <w:ind w:firstLine="0" w:firstLineChars="0"/>
              <w:rPr>
                <w:rFonts w:ascii="宋体" w:hAnsi="宋体"/>
                <w:szCs w:val="21"/>
              </w:rPr>
            </w:pPr>
            <w:r>
              <w:rPr>
                <w:rFonts w:hint="eastAsia" w:ascii="宋体" w:hAnsi="宋体"/>
                <w:szCs w:val="21"/>
              </w:rPr>
              <w:t>泄  洪</w:t>
            </w:r>
          </w:p>
          <w:p w14:paraId="57FADA15">
            <w:pPr>
              <w:adjustRightInd w:val="0"/>
              <w:snapToGrid w:val="0"/>
              <w:spacing w:line="240" w:lineRule="auto"/>
              <w:ind w:firstLine="0" w:firstLineChars="0"/>
              <w:rPr>
                <w:rFonts w:ascii="宋体" w:hAnsi="宋体"/>
                <w:szCs w:val="21"/>
              </w:rPr>
            </w:pPr>
            <w:r>
              <w:rPr>
                <w:rFonts w:hint="eastAsia" w:ascii="宋体" w:hAnsi="宋体"/>
                <w:szCs w:val="21"/>
              </w:rPr>
              <w:t>建筑物</w:t>
            </w:r>
          </w:p>
        </w:tc>
        <w:tc>
          <w:tcPr>
            <w:tcW w:w="7810" w:type="dxa"/>
            <w:gridSpan w:val="13"/>
            <w:tcBorders>
              <w:left w:val="single" w:color="auto" w:sz="4" w:space="0"/>
            </w:tcBorders>
            <w:noWrap/>
            <w:vAlign w:val="center"/>
          </w:tcPr>
          <w:p w14:paraId="69B7DA51">
            <w:pPr>
              <w:adjustRightInd w:val="0"/>
              <w:snapToGrid w:val="0"/>
              <w:spacing w:line="240" w:lineRule="auto"/>
              <w:ind w:firstLine="0" w:firstLineChars="0"/>
              <w:rPr>
                <w:rFonts w:ascii="宋体" w:hAnsi="宋体"/>
                <w:szCs w:val="21"/>
              </w:rPr>
            </w:pPr>
            <w:r>
              <w:rPr>
                <w:rFonts w:hint="eastAsia" w:ascii="宋体" w:hAnsi="宋体"/>
                <w:szCs w:val="21"/>
              </w:rPr>
              <w:t>发电用输水洞，洞径2米，泄水量7.14m³/s</w:t>
            </w:r>
          </w:p>
        </w:tc>
      </w:tr>
      <w:tr w14:paraId="6C3A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17" w:type="dxa"/>
            <w:gridSpan w:val="8"/>
            <w:tcBorders>
              <w:right w:val="single" w:color="auto" w:sz="4" w:space="0"/>
            </w:tcBorders>
            <w:noWrap/>
            <w:vAlign w:val="center"/>
          </w:tcPr>
          <w:p w14:paraId="53A774BA">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42" w:type="dxa"/>
            <w:gridSpan w:val="4"/>
            <w:tcBorders>
              <w:right w:val="single" w:color="auto" w:sz="4" w:space="0"/>
            </w:tcBorders>
            <w:noWrap/>
            <w:vAlign w:val="center"/>
          </w:tcPr>
          <w:p w14:paraId="11928474">
            <w:pPr>
              <w:adjustRightInd w:val="0"/>
              <w:snapToGrid w:val="0"/>
              <w:spacing w:line="240" w:lineRule="auto"/>
              <w:ind w:firstLine="0" w:firstLineChars="0"/>
              <w:rPr>
                <w:rFonts w:ascii="宋体" w:hAnsi="宋体"/>
                <w:szCs w:val="21"/>
              </w:rPr>
            </w:pPr>
            <w:r>
              <w:rPr>
                <w:rFonts w:hint="eastAsia" w:ascii="宋体" w:hAnsi="宋体"/>
                <w:szCs w:val="21"/>
              </w:rPr>
              <w:t>无</w:t>
            </w:r>
          </w:p>
        </w:tc>
        <w:tc>
          <w:tcPr>
            <w:tcW w:w="2105" w:type="dxa"/>
            <w:gridSpan w:val="3"/>
            <w:tcBorders>
              <w:right w:val="single" w:color="auto" w:sz="4" w:space="0"/>
            </w:tcBorders>
            <w:noWrap/>
            <w:vAlign w:val="center"/>
          </w:tcPr>
          <w:p w14:paraId="7B1471B1">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36" w:type="dxa"/>
            <w:tcBorders>
              <w:left w:val="single" w:color="auto" w:sz="4" w:space="0"/>
            </w:tcBorders>
            <w:noWrap/>
            <w:vAlign w:val="center"/>
          </w:tcPr>
          <w:p w14:paraId="47494C1D">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50B8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67" w:type="dxa"/>
            <w:gridSpan w:val="2"/>
            <w:tcBorders>
              <w:top w:val="single" w:color="auto" w:sz="4" w:space="0"/>
              <w:bottom w:val="single" w:color="auto" w:sz="4" w:space="0"/>
              <w:right w:val="single" w:color="auto" w:sz="4" w:space="0"/>
            </w:tcBorders>
            <w:noWrap/>
            <w:vAlign w:val="center"/>
          </w:tcPr>
          <w:p w14:paraId="28694323">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792" w:type="dxa"/>
            <w:gridSpan w:val="10"/>
            <w:noWrap/>
            <w:vAlign w:val="center"/>
          </w:tcPr>
          <w:p w14:paraId="0A8EDD61">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41" w:type="dxa"/>
            <w:gridSpan w:val="4"/>
            <w:vMerge w:val="restart"/>
            <w:noWrap/>
            <w:vAlign w:val="center"/>
          </w:tcPr>
          <w:p w14:paraId="65266EA7">
            <w:pPr>
              <w:adjustRightInd w:val="0"/>
              <w:snapToGrid w:val="0"/>
              <w:spacing w:line="240" w:lineRule="auto"/>
              <w:ind w:firstLine="0" w:firstLineChars="0"/>
              <w:rPr>
                <w:rFonts w:ascii="宋体" w:hAnsi="宋体"/>
                <w:szCs w:val="21"/>
              </w:rPr>
            </w:pPr>
            <w:r>
              <w:rPr>
                <w:rFonts w:hint="eastAsia" w:ascii="宋体" w:hAnsi="宋体"/>
                <w:szCs w:val="21"/>
              </w:rPr>
              <w:t>汛限水位:1222.50米</w:t>
            </w:r>
          </w:p>
        </w:tc>
      </w:tr>
      <w:tr w14:paraId="3462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67" w:type="dxa"/>
            <w:gridSpan w:val="2"/>
            <w:tcBorders>
              <w:top w:val="single" w:color="auto" w:sz="4" w:space="0"/>
              <w:bottom w:val="single" w:color="auto" w:sz="4" w:space="0"/>
              <w:right w:val="single" w:color="auto" w:sz="4" w:space="0"/>
            </w:tcBorders>
            <w:noWrap/>
            <w:vAlign w:val="center"/>
          </w:tcPr>
          <w:p w14:paraId="693EAA5A">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792" w:type="dxa"/>
            <w:gridSpan w:val="10"/>
            <w:noWrap/>
            <w:vAlign w:val="center"/>
          </w:tcPr>
          <w:p w14:paraId="3A1ABF94">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41" w:type="dxa"/>
            <w:gridSpan w:val="4"/>
            <w:vMerge w:val="continue"/>
            <w:noWrap/>
            <w:vAlign w:val="center"/>
          </w:tcPr>
          <w:p w14:paraId="60DC4897">
            <w:pPr>
              <w:adjustRightInd w:val="0"/>
              <w:snapToGrid w:val="0"/>
              <w:spacing w:line="240" w:lineRule="auto"/>
              <w:ind w:firstLine="0" w:firstLineChars="0"/>
              <w:rPr>
                <w:rFonts w:ascii="宋体" w:hAnsi="宋体"/>
                <w:szCs w:val="21"/>
              </w:rPr>
            </w:pPr>
          </w:p>
        </w:tc>
      </w:tr>
      <w:tr w14:paraId="5FAF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exact"/>
          <w:jc w:val="center"/>
        </w:trPr>
        <w:tc>
          <w:tcPr>
            <w:tcW w:w="843" w:type="dxa"/>
            <w:tcBorders>
              <w:top w:val="single" w:color="auto" w:sz="4" w:space="0"/>
              <w:right w:val="single" w:color="auto" w:sz="4" w:space="0"/>
            </w:tcBorders>
            <w:noWrap/>
            <w:vAlign w:val="center"/>
          </w:tcPr>
          <w:p w14:paraId="341533AB">
            <w:pPr>
              <w:adjustRightInd w:val="0"/>
              <w:snapToGrid w:val="0"/>
              <w:spacing w:line="240" w:lineRule="auto"/>
              <w:ind w:firstLine="0" w:firstLineChars="0"/>
              <w:rPr>
                <w:rFonts w:ascii="宋体" w:hAnsi="宋体"/>
                <w:szCs w:val="21"/>
              </w:rPr>
            </w:pPr>
            <w:r>
              <w:rPr>
                <w:rFonts w:hint="eastAsia" w:ascii="宋体" w:hAnsi="宋体"/>
                <w:szCs w:val="21"/>
              </w:rPr>
              <w:t>汛期调度方 式</w:t>
            </w:r>
          </w:p>
        </w:tc>
        <w:tc>
          <w:tcPr>
            <w:tcW w:w="8557" w:type="dxa"/>
            <w:gridSpan w:val="15"/>
            <w:tcBorders>
              <w:left w:val="single" w:color="auto" w:sz="4" w:space="0"/>
            </w:tcBorders>
            <w:noWrap/>
            <w:vAlign w:val="center"/>
          </w:tcPr>
          <w:p w14:paraId="625FDDEA">
            <w:pPr>
              <w:adjustRightInd w:val="0"/>
              <w:snapToGrid w:val="0"/>
              <w:spacing w:line="240" w:lineRule="auto"/>
              <w:ind w:firstLine="0" w:firstLineChars="0"/>
              <w:rPr>
                <w:rFonts w:ascii="宋体" w:hAnsi="宋体"/>
                <w:sz w:val="18"/>
                <w:szCs w:val="18"/>
              </w:rPr>
            </w:pPr>
            <w:r>
              <w:rPr>
                <w:rFonts w:hint="eastAsia" w:ascii="宋体" w:hAnsi="宋体"/>
                <w:szCs w:val="21"/>
              </w:rPr>
              <w:t>在初汛期（六月末以前），将库水位降至1222.50m以下，腾出库容720*104m³；在主汛期（7月1日</w:t>
            </w:r>
            <w:r>
              <w:rPr>
                <w:rFonts w:hint="eastAsia" w:ascii="宋体" w:hAnsi="宋体"/>
                <w:szCs w:val="21"/>
                <w:lang w:eastAsia="zh-CN"/>
              </w:rPr>
              <w:t>—</w:t>
            </w:r>
            <w:r>
              <w:rPr>
                <w:rFonts w:hint="eastAsia" w:ascii="宋体" w:hAnsi="宋体"/>
                <w:szCs w:val="21"/>
              </w:rPr>
              <w:t>8月20日）之前，将库水位降至1221.50m以下，此时，视水库水位和天气变化情况，扔用发电洞来调节，使来水量和泄水量保持平衡，此时腾出库容890*104m³；在后汛期（8月21日</w:t>
            </w:r>
            <w:r>
              <w:rPr>
                <w:rFonts w:hint="eastAsia" w:ascii="宋体" w:hAnsi="宋体"/>
                <w:szCs w:val="21"/>
                <w:lang w:eastAsia="zh-CN"/>
              </w:rPr>
              <w:t>—</w:t>
            </w:r>
            <w:r>
              <w:rPr>
                <w:rFonts w:hint="eastAsia" w:ascii="宋体" w:hAnsi="宋体"/>
                <w:szCs w:val="21"/>
              </w:rPr>
              <w:t>9月15日），水库控限水位在1222.50m以下，此时仍有720*104m³的库容空间</w:t>
            </w:r>
          </w:p>
        </w:tc>
      </w:tr>
      <w:tr w14:paraId="675E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exact"/>
          <w:jc w:val="center"/>
        </w:trPr>
        <w:tc>
          <w:tcPr>
            <w:tcW w:w="1937" w:type="dxa"/>
            <w:gridSpan w:val="6"/>
            <w:tcBorders>
              <w:right w:val="single" w:color="auto" w:sz="4" w:space="0"/>
            </w:tcBorders>
            <w:noWrap/>
            <w:vAlign w:val="center"/>
          </w:tcPr>
          <w:p w14:paraId="365E70C0">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63" w:type="dxa"/>
            <w:gridSpan w:val="10"/>
            <w:noWrap/>
            <w:vAlign w:val="center"/>
          </w:tcPr>
          <w:p w14:paraId="7643A464">
            <w:pPr>
              <w:adjustRightInd w:val="0"/>
              <w:snapToGrid w:val="0"/>
              <w:spacing w:line="240" w:lineRule="auto"/>
              <w:ind w:firstLine="0" w:firstLineChars="0"/>
              <w:rPr>
                <w:rFonts w:ascii="宋体" w:hAnsi="宋体"/>
                <w:szCs w:val="21"/>
              </w:rPr>
            </w:pPr>
            <w:r>
              <w:rPr>
                <w:rFonts w:hint="eastAsia" w:ascii="宋体" w:hAnsi="宋体"/>
                <w:szCs w:val="21"/>
              </w:rPr>
              <w:t>水库主要保护上湾子</w:t>
            </w:r>
            <w:r>
              <w:rPr>
                <w:rFonts w:hint="eastAsia" w:ascii="宋体" w:hAnsi="宋体"/>
                <w:szCs w:val="21"/>
                <w:lang w:eastAsia="zh-CN"/>
              </w:rPr>
              <w:t>Ⅱ级</w:t>
            </w:r>
            <w:r>
              <w:rPr>
                <w:rFonts w:hint="eastAsia" w:ascii="宋体" w:hAnsi="宋体"/>
                <w:szCs w:val="21"/>
              </w:rPr>
              <w:t>、胡家湾、龙口、大石门四座水库的运行安全及地方电网供电安全，同时还有红山子乡、浩来呼热乡、芝瑞镇、万合永镇和经棚镇5个乡镇，农田2.4万亩，人口3.7万人，两座桥梁及306国道和省际。</w:t>
            </w:r>
          </w:p>
        </w:tc>
      </w:tr>
    </w:tbl>
    <w:p w14:paraId="540D7759">
      <w:pPr>
        <w:spacing w:line="240" w:lineRule="auto"/>
        <w:ind w:firstLine="0" w:firstLineChars="0"/>
        <w:jc w:val="center"/>
        <w:rPr>
          <w:rFonts w:ascii="宋体" w:hAnsi="宋体"/>
          <w:b/>
          <w:sz w:val="32"/>
          <w:szCs w:val="32"/>
        </w:rPr>
      </w:pPr>
    </w:p>
    <w:p w14:paraId="2C577DE3">
      <w:pPr>
        <w:spacing w:line="240" w:lineRule="auto"/>
        <w:ind w:firstLine="0" w:firstLineChars="0"/>
        <w:jc w:val="center"/>
        <w:rPr>
          <w:rFonts w:ascii="宋体" w:hAnsi="宋体"/>
          <w:b/>
          <w:sz w:val="32"/>
          <w:szCs w:val="32"/>
        </w:rPr>
      </w:pPr>
      <w:r>
        <w:rPr>
          <w:rFonts w:hint="eastAsia" w:ascii="宋体" w:hAnsi="宋体"/>
          <w:b/>
          <w:sz w:val="32"/>
          <w:szCs w:val="32"/>
        </w:rPr>
        <w:t>上湾子Ⅱ级水库安全度汛明白卡</w:t>
      </w:r>
    </w:p>
    <w:tbl>
      <w:tblPr>
        <w:tblStyle w:val="21"/>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30"/>
        <w:gridCol w:w="36"/>
        <w:gridCol w:w="297"/>
        <w:gridCol w:w="38"/>
        <w:gridCol w:w="75"/>
        <w:gridCol w:w="1303"/>
        <w:gridCol w:w="870"/>
        <w:gridCol w:w="385"/>
        <w:gridCol w:w="23"/>
        <w:gridCol w:w="791"/>
        <w:gridCol w:w="801"/>
        <w:gridCol w:w="1275"/>
        <w:gridCol w:w="1933"/>
      </w:tblGrid>
      <w:tr w14:paraId="7DDD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2" w:type="dxa"/>
            <w:gridSpan w:val="8"/>
            <w:noWrap/>
            <w:vAlign w:val="center"/>
          </w:tcPr>
          <w:p w14:paraId="67D6A0BD">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208" w:type="dxa"/>
            <w:gridSpan w:val="6"/>
            <w:noWrap/>
            <w:vAlign w:val="center"/>
          </w:tcPr>
          <w:p w14:paraId="433A63CF">
            <w:pPr>
              <w:adjustRightInd w:val="0"/>
              <w:snapToGrid w:val="0"/>
              <w:spacing w:line="240" w:lineRule="auto"/>
              <w:ind w:firstLine="0" w:firstLineChars="0"/>
              <w:rPr>
                <w:rFonts w:ascii="宋体" w:hAnsi="宋体"/>
                <w:szCs w:val="21"/>
              </w:rPr>
            </w:pPr>
            <w:r>
              <w:rPr>
                <w:rFonts w:hint="eastAsia" w:ascii="宋体" w:hAnsi="宋体"/>
                <w:szCs w:val="21"/>
              </w:rPr>
              <w:t>克旗红山子乡</w:t>
            </w:r>
          </w:p>
        </w:tc>
      </w:tr>
      <w:tr w14:paraId="597D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19" w:type="dxa"/>
            <w:gridSpan w:val="6"/>
            <w:tcBorders>
              <w:right w:val="single" w:color="auto" w:sz="4" w:space="0"/>
            </w:tcBorders>
            <w:noWrap/>
            <w:vAlign w:val="center"/>
          </w:tcPr>
          <w:p w14:paraId="7AD70326">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381" w:type="dxa"/>
            <w:gridSpan w:val="8"/>
            <w:tcBorders>
              <w:left w:val="single" w:color="auto" w:sz="4" w:space="0"/>
            </w:tcBorders>
            <w:noWrap/>
            <w:vAlign w:val="center"/>
          </w:tcPr>
          <w:p w14:paraId="65EE6AE0">
            <w:pPr>
              <w:adjustRightInd w:val="0"/>
              <w:snapToGrid w:val="0"/>
              <w:spacing w:line="240" w:lineRule="auto"/>
              <w:ind w:firstLine="0" w:firstLineChars="0"/>
              <w:rPr>
                <w:rFonts w:ascii="宋体" w:hAnsi="宋体"/>
                <w:szCs w:val="21"/>
              </w:rPr>
            </w:pPr>
            <w:r>
              <w:rPr>
                <w:rFonts w:hint="eastAsia" w:ascii="宋体" w:hAnsi="宋体"/>
                <w:szCs w:val="21"/>
              </w:rPr>
              <w:t>防洪、发电</w:t>
            </w:r>
          </w:p>
        </w:tc>
      </w:tr>
      <w:tr w14:paraId="3B60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19" w:type="dxa"/>
            <w:gridSpan w:val="6"/>
            <w:tcBorders>
              <w:right w:val="single" w:color="auto" w:sz="4" w:space="0"/>
            </w:tcBorders>
            <w:noWrap/>
            <w:vAlign w:val="center"/>
          </w:tcPr>
          <w:p w14:paraId="147A404D">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173" w:type="dxa"/>
            <w:gridSpan w:val="2"/>
            <w:tcBorders>
              <w:left w:val="single" w:color="auto" w:sz="4" w:space="0"/>
            </w:tcBorders>
            <w:noWrap/>
            <w:vAlign w:val="center"/>
          </w:tcPr>
          <w:p w14:paraId="2B53EC51">
            <w:pPr>
              <w:adjustRightInd w:val="0"/>
              <w:snapToGrid w:val="0"/>
              <w:spacing w:line="240" w:lineRule="auto"/>
              <w:ind w:firstLine="0" w:firstLineChars="0"/>
              <w:rPr>
                <w:rFonts w:ascii="宋体" w:hAnsi="宋体"/>
                <w:szCs w:val="21"/>
              </w:rPr>
            </w:pPr>
            <w:r>
              <w:rPr>
                <w:rFonts w:hint="eastAsia" w:ascii="宋体" w:hAnsi="宋体"/>
                <w:szCs w:val="21"/>
              </w:rPr>
              <w:t>萨岭河</w:t>
            </w:r>
          </w:p>
        </w:tc>
        <w:tc>
          <w:tcPr>
            <w:tcW w:w="2000" w:type="dxa"/>
            <w:gridSpan w:val="4"/>
            <w:tcBorders>
              <w:top w:val="single" w:color="auto" w:sz="4" w:space="0"/>
              <w:bottom w:val="single" w:color="auto" w:sz="4" w:space="0"/>
              <w:right w:val="single" w:color="auto" w:sz="4" w:space="0"/>
            </w:tcBorders>
            <w:noWrap/>
            <w:vAlign w:val="center"/>
          </w:tcPr>
          <w:p w14:paraId="546F74CF">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08" w:type="dxa"/>
            <w:gridSpan w:val="2"/>
            <w:tcBorders>
              <w:top w:val="single" w:color="auto" w:sz="4" w:space="0"/>
              <w:bottom w:val="single" w:color="auto" w:sz="4" w:space="0"/>
            </w:tcBorders>
            <w:noWrap/>
            <w:vAlign w:val="center"/>
          </w:tcPr>
          <w:p w14:paraId="0EF3B3FF">
            <w:pPr>
              <w:adjustRightInd w:val="0"/>
              <w:snapToGrid w:val="0"/>
              <w:spacing w:line="240" w:lineRule="auto"/>
              <w:ind w:firstLine="0" w:firstLineChars="0"/>
              <w:rPr>
                <w:rFonts w:ascii="宋体" w:hAnsi="宋体"/>
                <w:szCs w:val="21"/>
              </w:rPr>
            </w:pPr>
            <w:r>
              <w:rPr>
                <w:rFonts w:hint="eastAsia" w:ascii="宋体" w:hAnsi="宋体"/>
                <w:szCs w:val="21"/>
              </w:rPr>
              <w:t>克旗水利局</w:t>
            </w:r>
          </w:p>
        </w:tc>
      </w:tr>
      <w:tr w14:paraId="1624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19" w:type="dxa"/>
            <w:gridSpan w:val="6"/>
            <w:noWrap/>
            <w:vAlign w:val="center"/>
          </w:tcPr>
          <w:p w14:paraId="64731D30">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173" w:type="dxa"/>
            <w:gridSpan w:val="6"/>
            <w:tcBorders>
              <w:right w:val="single" w:color="auto" w:sz="4" w:space="0"/>
            </w:tcBorders>
            <w:noWrap/>
            <w:vAlign w:val="center"/>
          </w:tcPr>
          <w:p w14:paraId="40140245">
            <w:pPr>
              <w:adjustRightInd w:val="0"/>
              <w:snapToGrid w:val="0"/>
              <w:spacing w:line="240" w:lineRule="auto"/>
              <w:ind w:firstLine="0" w:firstLineChars="0"/>
              <w:rPr>
                <w:rFonts w:ascii="宋体" w:hAnsi="宋体"/>
                <w:szCs w:val="21"/>
              </w:rPr>
            </w:pPr>
            <w:r>
              <w:rPr>
                <w:rFonts w:hint="eastAsia" w:ascii="宋体" w:hAnsi="宋体"/>
                <w:szCs w:val="21"/>
              </w:rPr>
              <w:t>浆砌石重力坝</w:t>
            </w:r>
          </w:p>
        </w:tc>
        <w:tc>
          <w:tcPr>
            <w:tcW w:w="1275" w:type="dxa"/>
            <w:tcBorders>
              <w:left w:val="single" w:color="auto" w:sz="4" w:space="0"/>
              <w:right w:val="single" w:color="auto" w:sz="4" w:space="0"/>
            </w:tcBorders>
            <w:noWrap/>
            <w:vAlign w:val="center"/>
          </w:tcPr>
          <w:p w14:paraId="63D55917">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1933" w:type="dxa"/>
            <w:tcBorders>
              <w:left w:val="single" w:color="auto" w:sz="4" w:space="0"/>
            </w:tcBorders>
            <w:noWrap/>
            <w:vAlign w:val="center"/>
          </w:tcPr>
          <w:p w14:paraId="4A3ADB20">
            <w:pPr>
              <w:adjustRightInd w:val="0"/>
              <w:snapToGrid w:val="0"/>
              <w:spacing w:line="240" w:lineRule="auto"/>
              <w:ind w:firstLine="0" w:firstLineChars="0"/>
              <w:rPr>
                <w:rFonts w:ascii="宋体" w:hAnsi="宋体"/>
                <w:szCs w:val="21"/>
              </w:rPr>
            </w:pPr>
            <w:r>
              <w:rPr>
                <w:rFonts w:hint="eastAsia" w:ascii="宋体" w:hAnsi="宋体"/>
                <w:szCs w:val="21"/>
              </w:rPr>
              <w:t>89.15米</w:t>
            </w:r>
          </w:p>
        </w:tc>
      </w:tr>
      <w:tr w14:paraId="52B0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09" w:type="dxa"/>
            <w:gridSpan w:val="3"/>
            <w:tcBorders>
              <w:right w:val="single" w:color="auto" w:sz="4" w:space="0"/>
            </w:tcBorders>
            <w:noWrap/>
            <w:vAlign w:val="center"/>
          </w:tcPr>
          <w:p w14:paraId="1DEA5F57">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2991" w:type="dxa"/>
            <w:gridSpan w:val="7"/>
            <w:tcBorders>
              <w:left w:val="single" w:color="auto" w:sz="4" w:space="0"/>
              <w:right w:val="single" w:color="auto" w:sz="4" w:space="0"/>
            </w:tcBorders>
            <w:noWrap/>
            <w:vAlign w:val="center"/>
          </w:tcPr>
          <w:p w14:paraId="1F8DFD71">
            <w:pPr>
              <w:adjustRightInd w:val="0"/>
              <w:snapToGrid w:val="0"/>
              <w:spacing w:line="240" w:lineRule="auto"/>
              <w:ind w:firstLine="0" w:firstLineChars="0"/>
              <w:rPr>
                <w:rFonts w:ascii="宋体" w:hAnsi="宋体"/>
                <w:szCs w:val="21"/>
              </w:rPr>
            </w:pPr>
            <w:r>
              <w:rPr>
                <w:rFonts w:hint="eastAsia" w:ascii="宋体" w:hAnsi="宋体"/>
                <w:szCs w:val="21"/>
              </w:rPr>
              <w:t>294.41万m³</w:t>
            </w:r>
          </w:p>
        </w:tc>
        <w:tc>
          <w:tcPr>
            <w:tcW w:w="2867" w:type="dxa"/>
            <w:gridSpan w:val="3"/>
            <w:tcBorders>
              <w:left w:val="single" w:color="auto" w:sz="4" w:space="0"/>
              <w:right w:val="single" w:color="auto" w:sz="4" w:space="0"/>
            </w:tcBorders>
            <w:noWrap/>
            <w:vAlign w:val="center"/>
          </w:tcPr>
          <w:p w14:paraId="58F53788">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1933" w:type="dxa"/>
            <w:tcBorders>
              <w:left w:val="single" w:color="auto" w:sz="4" w:space="0"/>
            </w:tcBorders>
            <w:noWrap/>
            <w:vAlign w:val="center"/>
          </w:tcPr>
          <w:p w14:paraId="2D8F88B2">
            <w:pPr>
              <w:adjustRightInd w:val="0"/>
              <w:snapToGrid w:val="0"/>
              <w:spacing w:line="240" w:lineRule="auto"/>
              <w:ind w:firstLine="0" w:firstLineChars="0"/>
              <w:rPr>
                <w:rFonts w:ascii="宋体" w:hAnsi="宋体"/>
                <w:szCs w:val="21"/>
              </w:rPr>
            </w:pPr>
            <w:r>
              <w:rPr>
                <w:rFonts w:hint="eastAsia" w:ascii="宋体" w:hAnsi="宋体"/>
                <w:szCs w:val="21"/>
              </w:rPr>
              <w:t>1164.00米</w:t>
            </w:r>
          </w:p>
        </w:tc>
      </w:tr>
      <w:tr w14:paraId="28BA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6" w:type="dxa"/>
            <w:gridSpan w:val="4"/>
            <w:noWrap/>
            <w:vAlign w:val="center"/>
          </w:tcPr>
          <w:p w14:paraId="033AD289">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671" w:type="dxa"/>
            <w:gridSpan w:val="5"/>
            <w:tcBorders>
              <w:right w:val="single" w:color="auto" w:sz="4" w:space="0"/>
            </w:tcBorders>
            <w:noWrap/>
            <w:vAlign w:val="center"/>
          </w:tcPr>
          <w:p w14:paraId="543708AD">
            <w:pPr>
              <w:adjustRightInd w:val="0"/>
              <w:snapToGrid w:val="0"/>
              <w:spacing w:line="240" w:lineRule="auto"/>
              <w:ind w:firstLine="0" w:firstLineChars="0"/>
              <w:rPr>
                <w:rFonts w:ascii="宋体" w:hAnsi="宋体"/>
                <w:szCs w:val="21"/>
              </w:rPr>
            </w:pPr>
            <w:r>
              <w:rPr>
                <w:rFonts w:hint="eastAsia" w:ascii="宋体" w:hAnsi="宋体"/>
                <w:szCs w:val="21"/>
              </w:rPr>
              <w:t>1166.39米</w:t>
            </w:r>
          </w:p>
        </w:tc>
        <w:tc>
          <w:tcPr>
            <w:tcW w:w="2890" w:type="dxa"/>
            <w:gridSpan w:val="4"/>
            <w:tcBorders>
              <w:left w:val="single" w:color="auto" w:sz="4" w:space="0"/>
            </w:tcBorders>
            <w:noWrap/>
            <w:vAlign w:val="center"/>
          </w:tcPr>
          <w:p w14:paraId="4557BADC">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1933" w:type="dxa"/>
            <w:noWrap/>
            <w:vAlign w:val="center"/>
          </w:tcPr>
          <w:p w14:paraId="1A5E50A8">
            <w:pPr>
              <w:adjustRightInd w:val="0"/>
              <w:snapToGrid w:val="0"/>
              <w:spacing w:line="240" w:lineRule="auto"/>
              <w:ind w:firstLine="0" w:firstLineChars="0"/>
              <w:rPr>
                <w:rFonts w:ascii="宋体" w:hAnsi="宋体"/>
                <w:szCs w:val="21"/>
              </w:rPr>
            </w:pPr>
            <w:r>
              <w:rPr>
                <w:rFonts w:hint="eastAsia" w:ascii="宋体" w:hAnsi="宋体"/>
                <w:szCs w:val="21"/>
              </w:rPr>
              <w:t>31.39米</w:t>
            </w:r>
          </w:p>
        </w:tc>
      </w:tr>
      <w:tr w14:paraId="565B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73" w:type="dxa"/>
            <w:gridSpan w:val="2"/>
            <w:tcBorders>
              <w:right w:val="single" w:color="auto" w:sz="4" w:space="0"/>
            </w:tcBorders>
            <w:noWrap/>
            <w:vAlign w:val="center"/>
          </w:tcPr>
          <w:p w14:paraId="18F2BF02">
            <w:pPr>
              <w:adjustRightInd w:val="0"/>
              <w:snapToGrid w:val="0"/>
              <w:spacing w:line="240" w:lineRule="auto"/>
              <w:ind w:firstLine="0" w:firstLineChars="0"/>
              <w:rPr>
                <w:rFonts w:ascii="宋体" w:hAnsi="宋体"/>
                <w:szCs w:val="21"/>
              </w:rPr>
            </w:pPr>
            <w:r>
              <w:rPr>
                <w:rFonts w:hint="eastAsia" w:ascii="宋体" w:hAnsi="宋体"/>
                <w:szCs w:val="21"/>
              </w:rPr>
              <w:t>泄洪建筑物</w:t>
            </w:r>
          </w:p>
        </w:tc>
        <w:tc>
          <w:tcPr>
            <w:tcW w:w="7827" w:type="dxa"/>
            <w:gridSpan w:val="12"/>
            <w:tcBorders>
              <w:left w:val="single" w:color="auto" w:sz="4" w:space="0"/>
            </w:tcBorders>
            <w:noWrap/>
            <w:vAlign w:val="center"/>
          </w:tcPr>
          <w:p w14:paraId="01325E3F">
            <w:pPr>
              <w:adjustRightInd w:val="0"/>
              <w:snapToGrid w:val="0"/>
              <w:spacing w:line="240" w:lineRule="auto"/>
              <w:ind w:firstLine="0" w:firstLineChars="0"/>
              <w:rPr>
                <w:rFonts w:ascii="宋体" w:hAnsi="宋体"/>
                <w:szCs w:val="21"/>
              </w:rPr>
            </w:pPr>
            <w:r>
              <w:rPr>
                <w:rFonts w:hint="eastAsia" w:ascii="宋体" w:hAnsi="宋体"/>
                <w:szCs w:val="21"/>
              </w:rPr>
              <w:t>1、开敞式溢流堰；2、设计洪水泄量53.43m³/s，校核洪水泄量150.14 m³/s</w:t>
            </w:r>
          </w:p>
        </w:tc>
      </w:tr>
      <w:tr w14:paraId="2B5D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2" w:type="dxa"/>
            <w:gridSpan w:val="7"/>
            <w:tcBorders>
              <w:right w:val="single" w:color="auto" w:sz="4" w:space="0"/>
            </w:tcBorders>
            <w:noWrap/>
            <w:vAlign w:val="center"/>
          </w:tcPr>
          <w:p w14:paraId="77B11344">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69" w:type="dxa"/>
            <w:gridSpan w:val="4"/>
            <w:tcBorders>
              <w:right w:val="single" w:color="auto" w:sz="4" w:space="0"/>
            </w:tcBorders>
            <w:noWrap/>
            <w:vAlign w:val="center"/>
          </w:tcPr>
          <w:p w14:paraId="41F1D2C3">
            <w:pPr>
              <w:adjustRightInd w:val="0"/>
              <w:snapToGrid w:val="0"/>
              <w:spacing w:line="240" w:lineRule="auto"/>
              <w:ind w:firstLine="0" w:firstLineChars="0"/>
              <w:rPr>
                <w:rFonts w:ascii="宋体" w:hAnsi="宋体"/>
                <w:szCs w:val="21"/>
              </w:rPr>
            </w:pPr>
            <w:r>
              <w:rPr>
                <w:rFonts w:hint="eastAsia" w:ascii="宋体" w:hAnsi="宋体"/>
                <w:szCs w:val="21"/>
              </w:rPr>
              <w:t>人工</w:t>
            </w:r>
          </w:p>
        </w:tc>
        <w:tc>
          <w:tcPr>
            <w:tcW w:w="2076" w:type="dxa"/>
            <w:gridSpan w:val="2"/>
            <w:tcBorders>
              <w:right w:val="single" w:color="auto" w:sz="4" w:space="0"/>
            </w:tcBorders>
            <w:noWrap/>
            <w:vAlign w:val="center"/>
          </w:tcPr>
          <w:p w14:paraId="26DF799F">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33" w:type="dxa"/>
            <w:tcBorders>
              <w:left w:val="single" w:color="auto" w:sz="4" w:space="0"/>
            </w:tcBorders>
            <w:noWrap/>
            <w:vAlign w:val="center"/>
          </w:tcPr>
          <w:p w14:paraId="61237337">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5AFE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73" w:type="dxa"/>
            <w:gridSpan w:val="2"/>
            <w:tcBorders>
              <w:top w:val="single" w:color="auto" w:sz="4" w:space="0"/>
              <w:bottom w:val="single" w:color="auto" w:sz="4" w:space="0"/>
              <w:right w:val="single" w:color="auto" w:sz="4" w:space="0"/>
            </w:tcBorders>
            <w:noWrap/>
            <w:vAlign w:val="center"/>
          </w:tcPr>
          <w:p w14:paraId="034A0852">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818" w:type="dxa"/>
            <w:gridSpan w:val="9"/>
            <w:noWrap/>
            <w:vAlign w:val="center"/>
          </w:tcPr>
          <w:p w14:paraId="66D67490">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09" w:type="dxa"/>
            <w:gridSpan w:val="3"/>
            <w:vMerge w:val="restart"/>
            <w:noWrap/>
            <w:vAlign w:val="center"/>
          </w:tcPr>
          <w:p w14:paraId="3418F6FA">
            <w:pPr>
              <w:adjustRightInd w:val="0"/>
              <w:snapToGrid w:val="0"/>
              <w:spacing w:line="240" w:lineRule="auto"/>
              <w:ind w:firstLine="0" w:firstLineChars="0"/>
              <w:rPr>
                <w:rFonts w:ascii="宋体" w:hAnsi="宋体"/>
                <w:szCs w:val="21"/>
              </w:rPr>
            </w:pPr>
            <w:r>
              <w:rPr>
                <w:rFonts w:hint="eastAsia" w:ascii="宋体" w:hAnsi="宋体"/>
                <w:szCs w:val="21"/>
              </w:rPr>
              <w:t>汛限水位: 1164 米</w:t>
            </w:r>
          </w:p>
        </w:tc>
      </w:tr>
      <w:tr w14:paraId="681F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3" w:type="dxa"/>
            <w:gridSpan w:val="2"/>
            <w:tcBorders>
              <w:top w:val="single" w:color="auto" w:sz="4" w:space="0"/>
              <w:bottom w:val="single" w:color="auto" w:sz="4" w:space="0"/>
              <w:right w:val="single" w:color="auto" w:sz="4" w:space="0"/>
            </w:tcBorders>
            <w:noWrap/>
            <w:vAlign w:val="center"/>
          </w:tcPr>
          <w:p w14:paraId="66D4A59D">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818" w:type="dxa"/>
            <w:gridSpan w:val="9"/>
            <w:noWrap/>
            <w:vAlign w:val="center"/>
          </w:tcPr>
          <w:p w14:paraId="611C5C99">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8月20日</w:t>
            </w:r>
          </w:p>
        </w:tc>
        <w:tc>
          <w:tcPr>
            <w:tcW w:w="4009" w:type="dxa"/>
            <w:gridSpan w:val="3"/>
            <w:vMerge w:val="continue"/>
            <w:noWrap/>
            <w:vAlign w:val="center"/>
          </w:tcPr>
          <w:p w14:paraId="01F05A96">
            <w:pPr>
              <w:adjustRightInd w:val="0"/>
              <w:snapToGrid w:val="0"/>
              <w:spacing w:line="240" w:lineRule="auto"/>
              <w:ind w:firstLine="0" w:firstLineChars="0"/>
              <w:rPr>
                <w:rFonts w:ascii="宋体" w:hAnsi="宋体"/>
                <w:szCs w:val="21"/>
              </w:rPr>
            </w:pPr>
          </w:p>
        </w:tc>
      </w:tr>
      <w:tr w14:paraId="2D34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1143" w:type="dxa"/>
            <w:tcBorders>
              <w:top w:val="single" w:color="auto" w:sz="4" w:space="0"/>
              <w:right w:val="single" w:color="auto" w:sz="4" w:space="0"/>
            </w:tcBorders>
            <w:noWrap/>
            <w:vAlign w:val="center"/>
          </w:tcPr>
          <w:p w14:paraId="15689554">
            <w:pPr>
              <w:adjustRightInd w:val="0"/>
              <w:snapToGrid w:val="0"/>
              <w:spacing w:line="240" w:lineRule="auto"/>
              <w:ind w:firstLine="0" w:firstLineChars="0"/>
              <w:rPr>
                <w:rFonts w:hint="eastAsia" w:ascii="宋体" w:hAnsi="宋体"/>
                <w:szCs w:val="21"/>
              </w:rPr>
            </w:pPr>
            <w:r>
              <w:rPr>
                <w:rFonts w:hint="eastAsia" w:ascii="宋体" w:hAnsi="宋体"/>
                <w:szCs w:val="21"/>
              </w:rPr>
              <w:t>汛期调</w:t>
            </w:r>
          </w:p>
          <w:p w14:paraId="226FD749">
            <w:pPr>
              <w:adjustRightInd w:val="0"/>
              <w:snapToGrid w:val="0"/>
              <w:spacing w:line="240" w:lineRule="auto"/>
              <w:ind w:firstLine="0" w:firstLineChars="0"/>
              <w:rPr>
                <w:rFonts w:ascii="宋体" w:hAnsi="宋体"/>
                <w:szCs w:val="21"/>
              </w:rPr>
            </w:pPr>
            <w:r>
              <w:rPr>
                <w:rFonts w:hint="eastAsia" w:ascii="宋体" w:hAnsi="宋体"/>
                <w:szCs w:val="21"/>
              </w:rPr>
              <w:t>度方式</w:t>
            </w:r>
          </w:p>
        </w:tc>
        <w:tc>
          <w:tcPr>
            <w:tcW w:w="8257" w:type="dxa"/>
            <w:gridSpan w:val="13"/>
            <w:tcBorders>
              <w:left w:val="single" w:color="auto" w:sz="4" w:space="0"/>
            </w:tcBorders>
            <w:noWrap/>
            <w:vAlign w:val="center"/>
          </w:tcPr>
          <w:p w14:paraId="0007F903">
            <w:pPr>
              <w:adjustRightInd w:val="0"/>
              <w:snapToGrid w:val="0"/>
              <w:spacing w:line="240" w:lineRule="auto"/>
              <w:ind w:firstLine="0" w:firstLineChars="0"/>
              <w:rPr>
                <w:rFonts w:ascii="宋体" w:hAnsi="宋体"/>
                <w:szCs w:val="21"/>
              </w:rPr>
            </w:pPr>
            <w:r>
              <w:rPr>
                <w:rFonts w:hint="eastAsia" w:ascii="宋体" w:hAnsi="宋体"/>
                <w:szCs w:val="21"/>
              </w:rPr>
              <w:t>1、水位水库水位＜1163.5m时，水库蓄水；2、水位在1163.5m</w:t>
            </w:r>
            <w:r>
              <w:rPr>
                <w:rFonts w:hint="eastAsia" w:ascii="宋体" w:hAnsi="宋体"/>
                <w:szCs w:val="21"/>
                <w:lang w:eastAsia="zh-CN"/>
              </w:rPr>
              <w:t>～</w:t>
            </w:r>
            <w:r>
              <w:rPr>
                <w:rFonts w:hint="eastAsia" w:ascii="宋体" w:hAnsi="宋体"/>
                <w:szCs w:val="21"/>
              </w:rPr>
              <w:t>1164m之间；入库流量＜10m³/s时，来多少泄多少；入库流量≥10m³/s时，控泄10m³/s；3、控制闸门的开启，保持库水位为汛限水位，如来水量大于闸门全开时的泄量，从大坝溢流面溢流。</w:t>
            </w:r>
          </w:p>
        </w:tc>
      </w:tr>
      <w:tr w14:paraId="6F37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1944" w:type="dxa"/>
            <w:gridSpan w:val="5"/>
            <w:tcBorders>
              <w:right w:val="single" w:color="auto" w:sz="4" w:space="0"/>
            </w:tcBorders>
            <w:noWrap/>
            <w:vAlign w:val="center"/>
          </w:tcPr>
          <w:p w14:paraId="26076373">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56" w:type="dxa"/>
            <w:gridSpan w:val="9"/>
            <w:noWrap/>
            <w:vAlign w:val="center"/>
          </w:tcPr>
          <w:p w14:paraId="574136CC">
            <w:pPr>
              <w:adjustRightInd w:val="0"/>
              <w:snapToGrid w:val="0"/>
              <w:spacing w:line="240" w:lineRule="auto"/>
              <w:ind w:firstLine="0" w:firstLineChars="0"/>
              <w:rPr>
                <w:rFonts w:ascii="宋体" w:hAnsi="宋体"/>
                <w:szCs w:val="21"/>
              </w:rPr>
            </w:pPr>
            <w:r>
              <w:rPr>
                <w:rFonts w:hint="eastAsia" w:ascii="宋体" w:hAnsi="宋体"/>
                <w:szCs w:val="21"/>
              </w:rPr>
              <w:t>下游3个村庄，3座水电站及通信、电力、交通线路造成严重危险</w:t>
            </w:r>
          </w:p>
        </w:tc>
      </w:tr>
    </w:tbl>
    <w:p w14:paraId="0398F121">
      <w:pPr>
        <w:spacing w:line="240" w:lineRule="auto"/>
        <w:ind w:firstLine="0" w:firstLineChars="0"/>
        <w:jc w:val="center"/>
        <w:rPr>
          <w:rFonts w:ascii="宋体" w:hAnsi="宋体"/>
          <w:b/>
          <w:sz w:val="32"/>
          <w:szCs w:val="32"/>
        </w:rPr>
      </w:pPr>
      <w:r>
        <w:rPr>
          <w:rFonts w:hint="eastAsia" w:ascii="宋体" w:hAnsi="宋体"/>
          <w:b/>
          <w:sz w:val="32"/>
          <w:szCs w:val="32"/>
        </w:rPr>
        <w:t>黄岗梁水库安全度汛明白卡</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35"/>
        <w:gridCol w:w="21"/>
        <w:gridCol w:w="41"/>
        <w:gridCol w:w="256"/>
        <w:gridCol w:w="38"/>
        <w:gridCol w:w="30"/>
        <w:gridCol w:w="1350"/>
        <w:gridCol w:w="904"/>
        <w:gridCol w:w="73"/>
        <w:gridCol w:w="444"/>
        <w:gridCol w:w="611"/>
        <w:gridCol w:w="844"/>
        <w:gridCol w:w="1213"/>
        <w:gridCol w:w="64"/>
        <w:gridCol w:w="1940"/>
      </w:tblGrid>
      <w:tr w14:paraId="608D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84" w:type="dxa"/>
            <w:gridSpan w:val="10"/>
            <w:noWrap/>
            <w:vAlign w:val="center"/>
          </w:tcPr>
          <w:p w14:paraId="0EF85C65">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16" w:type="dxa"/>
            <w:gridSpan w:val="6"/>
            <w:noWrap/>
            <w:vAlign w:val="center"/>
          </w:tcPr>
          <w:p w14:paraId="6180149B">
            <w:pPr>
              <w:adjustRightInd w:val="0"/>
              <w:snapToGrid w:val="0"/>
              <w:spacing w:line="240" w:lineRule="auto"/>
              <w:ind w:firstLine="0" w:firstLineChars="0"/>
              <w:rPr>
                <w:rFonts w:ascii="宋体" w:hAnsi="宋体"/>
                <w:szCs w:val="21"/>
              </w:rPr>
            </w:pPr>
            <w:r>
              <w:rPr>
                <w:rFonts w:hint="eastAsia" w:ascii="宋体" w:hAnsi="宋体"/>
                <w:szCs w:val="21"/>
              </w:rPr>
              <w:t>同兴镇黄岗梁林场</w:t>
            </w:r>
          </w:p>
        </w:tc>
      </w:tr>
      <w:tr w14:paraId="50CE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7" w:type="dxa"/>
            <w:gridSpan w:val="7"/>
            <w:tcBorders>
              <w:right w:val="single" w:color="auto" w:sz="4" w:space="0"/>
            </w:tcBorders>
            <w:noWrap/>
            <w:vAlign w:val="center"/>
          </w:tcPr>
          <w:p w14:paraId="756C0D1F">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443" w:type="dxa"/>
            <w:gridSpan w:val="9"/>
            <w:tcBorders>
              <w:left w:val="single" w:color="auto" w:sz="4" w:space="0"/>
            </w:tcBorders>
            <w:noWrap/>
            <w:vAlign w:val="center"/>
          </w:tcPr>
          <w:p w14:paraId="695DDE4E">
            <w:pPr>
              <w:adjustRightInd w:val="0"/>
              <w:snapToGrid w:val="0"/>
              <w:spacing w:line="240" w:lineRule="auto"/>
              <w:ind w:firstLine="0" w:firstLineChars="0"/>
              <w:rPr>
                <w:rFonts w:ascii="宋体" w:hAnsi="宋体"/>
                <w:szCs w:val="21"/>
              </w:rPr>
            </w:pPr>
            <w:r>
              <w:rPr>
                <w:rFonts w:hint="eastAsia" w:ascii="宋体" w:hAnsi="宋体"/>
                <w:szCs w:val="21"/>
              </w:rPr>
              <w:t>防洪、灌溉为主、兼顾养鱼、旅游</w:t>
            </w:r>
          </w:p>
        </w:tc>
      </w:tr>
      <w:tr w14:paraId="7E13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7" w:type="dxa"/>
            <w:gridSpan w:val="7"/>
            <w:tcBorders>
              <w:right w:val="single" w:color="auto" w:sz="4" w:space="0"/>
            </w:tcBorders>
            <w:noWrap/>
            <w:vAlign w:val="center"/>
          </w:tcPr>
          <w:p w14:paraId="396F7D0E">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254" w:type="dxa"/>
            <w:gridSpan w:val="2"/>
            <w:tcBorders>
              <w:left w:val="single" w:color="auto" w:sz="4" w:space="0"/>
            </w:tcBorders>
            <w:noWrap/>
            <w:vAlign w:val="center"/>
          </w:tcPr>
          <w:p w14:paraId="5AFDABEB">
            <w:pPr>
              <w:adjustRightInd w:val="0"/>
              <w:snapToGrid w:val="0"/>
              <w:spacing w:line="240" w:lineRule="auto"/>
              <w:ind w:firstLine="0" w:firstLineChars="0"/>
              <w:rPr>
                <w:rFonts w:ascii="宋体" w:hAnsi="宋体"/>
                <w:szCs w:val="21"/>
              </w:rPr>
            </w:pPr>
            <w:r>
              <w:rPr>
                <w:rFonts w:hint="eastAsia" w:ascii="宋体" w:hAnsi="宋体"/>
                <w:szCs w:val="21"/>
              </w:rPr>
              <w:t>黄岗河</w:t>
            </w:r>
          </w:p>
        </w:tc>
        <w:tc>
          <w:tcPr>
            <w:tcW w:w="1972" w:type="dxa"/>
            <w:gridSpan w:val="4"/>
            <w:tcBorders>
              <w:top w:val="single" w:color="auto" w:sz="4" w:space="0"/>
              <w:bottom w:val="single" w:color="auto" w:sz="4" w:space="0"/>
              <w:right w:val="single" w:color="auto" w:sz="4" w:space="0"/>
            </w:tcBorders>
            <w:noWrap/>
            <w:vAlign w:val="center"/>
          </w:tcPr>
          <w:p w14:paraId="77669A5B">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17" w:type="dxa"/>
            <w:gridSpan w:val="3"/>
            <w:tcBorders>
              <w:top w:val="single" w:color="auto" w:sz="4" w:space="0"/>
              <w:bottom w:val="single" w:color="auto" w:sz="4" w:space="0"/>
            </w:tcBorders>
            <w:noWrap/>
            <w:vAlign w:val="center"/>
          </w:tcPr>
          <w:p w14:paraId="5340A05C">
            <w:pPr>
              <w:adjustRightInd w:val="0"/>
              <w:snapToGrid w:val="0"/>
              <w:spacing w:line="240" w:lineRule="auto"/>
              <w:ind w:firstLine="0" w:firstLineChars="0"/>
              <w:rPr>
                <w:rFonts w:ascii="宋体" w:hAnsi="宋体"/>
                <w:szCs w:val="21"/>
              </w:rPr>
            </w:pPr>
            <w:r>
              <w:rPr>
                <w:rFonts w:hint="eastAsia" w:ascii="宋体" w:hAnsi="宋体"/>
                <w:szCs w:val="21"/>
              </w:rPr>
              <w:t>克旗林业局</w:t>
            </w:r>
          </w:p>
        </w:tc>
      </w:tr>
      <w:tr w14:paraId="71AF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7" w:type="dxa"/>
            <w:gridSpan w:val="7"/>
            <w:noWrap/>
            <w:vAlign w:val="center"/>
          </w:tcPr>
          <w:p w14:paraId="2D093B52">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226" w:type="dxa"/>
            <w:gridSpan w:val="6"/>
            <w:tcBorders>
              <w:right w:val="single" w:color="auto" w:sz="4" w:space="0"/>
            </w:tcBorders>
            <w:noWrap/>
            <w:vAlign w:val="center"/>
          </w:tcPr>
          <w:p w14:paraId="1F26B1DD">
            <w:pPr>
              <w:adjustRightInd w:val="0"/>
              <w:snapToGrid w:val="0"/>
              <w:spacing w:line="240" w:lineRule="auto"/>
              <w:ind w:firstLine="0" w:firstLineChars="0"/>
              <w:jc w:val="center"/>
              <w:rPr>
                <w:rFonts w:ascii="宋体" w:hAnsi="宋体"/>
                <w:szCs w:val="21"/>
              </w:rPr>
            </w:pPr>
            <w:r>
              <w:rPr>
                <w:rFonts w:hint="eastAsia" w:ascii="宋体" w:hAnsi="宋体"/>
                <w:szCs w:val="21"/>
              </w:rPr>
              <w:t>均质土坝</w:t>
            </w:r>
          </w:p>
        </w:tc>
        <w:tc>
          <w:tcPr>
            <w:tcW w:w="1213" w:type="dxa"/>
            <w:tcBorders>
              <w:left w:val="single" w:color="auto" w:sz="4" w:space="0"/>
              <w:right w:val="single" w:color="auto" w:sz="4" w:space="0"/>
            </w:tcBorders>
            <w:noWrap/>
            <w:vAlign w:val="center"/>
          </w:tcPr>
          <w:p w14:paraId="04817344">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04" w:type="dxa"/>
            <w:gridSpan w:val="2"/>
            <w:tcBorders>
              <w:left w:val="single" w:color="auto" w:sz="4" w:space="0"/>
            </w:tcBorders>
            <w:noWrap/>
            <w:vAlign w:val="center"/>
          </w:tcPr>
          <w:p w14:paraId="128C8706">
            <w:pPr>
              <w:adjustRightInd w:val="0"/>
              <w:snapToGrid w:val="0"/>
              <w:spacing w:line="240" w:lineRule="auto"/>
              <w:ind w:firstLine="0" w:firstLineChars="0"/>
              <w:rPr>
                <w:rFonts w:ascii="宋体" w:hAnsi="宋体"/>
                <w:szCs w:val="21"/>
              </w:rPr>
            </w:pPr>
            <w:r>
              <w:rPr>
                <w:rFonts w:hint="eastAsia" w:ascii="宋体" w:hAnsi="宋体"/>
                <w:szCs w:val="21"/>
              </w:rPr>
              <w:t>166米</w:t>
            </w:r>
          </w:p>
        </w:tc>
      </w:tr>
      <w:tr w14:paraId="524C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92" w:type="dxa"/>
            <w:gridSpan w:val="3"/>
            <w:tcBorders>
              <w:right w:val="single" w:color="auto" w:sz="4" w:space="0"/>
            </w:tcBorders>
            <w:noWrap/>
            <w:vAlign w:val="center"/>
          </w:tcPr>
          <w:p w14:paraId="36C5607F">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136" w:type="dxa"/>
            <w:gridSpan w:val="8"/>
            <w:tcBorders>
              <w:left w:val="single" w:color="auto" w:sz="4" w:space="0"/>
              <w:right w:val="single" w:color="auto" w:sz="4" w:space="0"/>
            </w:tcBorders>
            <w:noWrap/>
            <w:vAlign w:val="center"/>
          </w:tcPr>
          <w:p w14:paraId="09EFBF6C">
            <w:pPr>
              <w:adjustRightInd w:val="0"/>
              <w:snapToGrid w:val="0"/>
              <w:spacing w:line="240" w:lineRule="auto"/>
              <w:ind w:firstLine="0" w:firstLineChars="0"/>
              <w:rPr>
                <w:rFonts w:ascii="宋体" w:hAnsi="宋体"/>
                <w:szCs w:val="21"/>
              </w:rPr>
            </w:pPr>
            <w:r>
              <w:rPr>
                <w:rFonts w:hint="eastAsia" w:ascii="宋体" w:hAnsi="宋体"/>
                <w:szCs w:val="21"/>
              </w:rPr>
              <w:t>42万m³</w:t>
            </w:r>
          </w:p>
        </w:tc>
        <w:tc>
          <w:tcPr>
            <w:tcW w:w="2668" w:type="dxa"/>
            <w:gridSpan w:val="3"/>
            <w:tcBorders>
              <w:left w:val="single" w:color="auto" w:sz="4" w:space="0"/>
              <w:right w:val="single" w:color="auto" w:sz="4" w:space="0"/>
            </w:tcBorders>
            <w:noWrap/>
            <w:vAlign w:val="center"/>
          </w:tcPr>
          <w:p w14:paraId="086F3B61">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04" w:type="dxa"/>
            <w:gridSpan w:val="2"/>
            <w:tcBorders>
              <w:left w:val="single" w:color="auto" w:sz="4" w:space="0"/>
            </w:tcBorders>
            <w:noWrap/>
            <w:vAlign w:val="center"/>
          </w:tcPr>
          <w:p w14:paraId="3C550993">
            <w:pPr>
              <w:adjustRightInd w:val="0"/>
              <w:snapToGrid w:val="0"/>
              <w:spacing w:line="240" w:lineRule="auto"/>
              <w:ind w:firstLine="0" w:firstLineChars="0"/>
              <w:rPr>
                <w:rFonts w:ascii="宋体" w:hAnsi="宋体"/>
                <w:szCs w:val="21"/>
              </w:rPr>
            </w:pPr>
            <w:r>
              <w:rPr>
                <w:rFonts w:hint="eastAsia" w:ascii="宋体" w:hAnsi="宋体"/>
                <w:szCs w:val="21"/>
              </w:rPr>
              <w:t>1428.7米</w:t>
            </w:r>
          </w:p>
        </w:tc>
      </w:tr>
      <w:tr w14:paraId="0DF7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89" w:type="dxa"/>
            <w:gridSpan w:val="5"/>
            <w:noWrap/>
            <w:vAlign w:val="center"/>
          </w:tcPr>
          <w:p w14:paraId="6B22DDC0">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839" w:type="dxa"/>
            <w:gridSpan w:val="6"/>
            <w:tcBorders>
              <w:right w:val="single" w:color="auto" w:sz="4" w:space="0"/>
            </w:tcBorders>
            <w:noWrap/>
            <w:vAlign w:val="center"/>
          </w:tcPr>
          <w:p w14:paraId="0485A6EF">
            <w:pPr>
              <w:adjustRightInd w:val="0"/>
              <w:snapToGrid w:val="0"/>
              <w:spacing w:line="240" w:lineRule="auto"/>
              <w:ind w:firstLine="0" w:firstLineChars="0"/>
              <w:rPr>
                <w:rFonts w:ascii="宋体" w:hAnsi="宋体"/>
                <w:szCs w:val="21"/>
              </w:rPr>
            </w:pPr>
            <w:r>
              <w:rPr>
                <w:rFonts w:hint="eastAsia" w:ascii="宋体" w:hAnsi="宋体"/>
                <w:szCs w:val="21"/>
              </w:rPr>
              <w:t>1430.2米</w:t>
            </w:r>
          </w:p>
        </w:tc>
        <w:tc>
          <w:tcPr>
            <w:tcW w:w="2668" w:type="dxa"/>
            <w:gridSpan w:val="3"/>
            <w:tcBorders>
              <w:left w:val="single" w:color="auto" w:sz="4" w:space="0"/>
            </w:tcBorders>
            <w:noWrap/>
            <w:vAlign w:val="center"/>
          </w:tcPr>
          <w:p w14:paraId="35C2DA6F">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04" w:type="dxa"/>
            <w:gridSpan w:val="2"/>
            <w:noWrap/>
            <w:vAlign w:val="center"/>
          </w:tcPr>
          <w:p w14:paraId="5078CB63">
            <w:pPr>
              <w:adjustRightInd w:val="0"/>
              <w:snapToGrid w:val="0"/>
              <w:spacing w:line="240" w:lineRule="auto"/>
              <w:ind w:firstLine="0" w:firstLineChars="0"/>
              <w:rPr>
                <w:rFonts w:ascii="宋体" w:hAnsi="宋体"/>
                <w:szCs w:val="21"/>
              </w:rPr>
            </w:pPr>
            <w:r>
              <w:rPr>
                <w:rFonts w:hint="eastAsia" w:ascii="宋体" w:hAnsi="宋体"/>
                <w:szCs w:val="21"/>
              </w:rPr>
              <w:t>8.7米</w:t>
            </w:r>
          </w:p>
        </w:tc>
      </w:tr>
      <w:tr w14:paraId="305D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1571" w:type="dxa"/>
            <w:gridSpan w:val="2"/>
            <w:tcBorders>
              <w:right w:val="single" w:color="auto" w:sz="4" w:space="0"/>
            </w:tcBorders>
            <w:noWrap/>
            <w:vAlign w:val="center"/>
          </w:tcPr>
          <w:p w14:paraId="7E86ED83">
            <w:pPr>
              <w:adjustRightInd w:val="0"/>
              <w:snapToGrid w:val="0"/>
              <w:spacing w:line="240" w:lineRule="auto"/>
              <w:ind w:firstLine="0" w:firstLineChars="0"/>
              <w:rPr>
                <w:rFonts w:ascii="宋体" w:hAnsi="宋体"/>
                <w:szCs w:val="21"/>
              </w:rPr>
            </w:pPr>
            <w:r>
              <w:rPr>
                <w:rFonts w:hint="eastAsia" w:ascii="宋体" w:hAnsi="宋体"/>
                <w:szCs w:val="21"/>
              </w:rPr>
              <w:t>泄  洪</w:t>
            </w:r>
          </w:p>
          <w:p w14:paraId="7AEB869E">
            <w:pPr>
              <w:adjustRightInd w:val="0"/>
              <w:snapToGrid w:val="0"/>
              <w:spacing w:line="240" w:lineRule="auto"/>
              <w:ind w:firstLine="0" w:firstLineChars="0"/>
              <w:rPr>
                <w:rFonts w:ascii="宋体" w:hAnsi="宋体"/>
                <w:szCs w:val="21"/>
              </w:rPr>
            </w:pPr>
            <w:r>
              <w:rPr>
                <w:rFonts w:hint="eastAsia" w:ascii="宋体" w:hAnsi="宋体"/>
                <w:szCs w:val="21"/>
              </w:rPr>
              <w:t>建筑物</w:t>
            </w:r>
          </w:p>
        </w:tc>
        <w:tc>
          <w:tcPr>
            <w:tcW w:w="7829" w:type="dxa"/>
            <w:gridSpan w:val="14"/>
            <w:tcBorders>
              <w:left w:val="single" w:color="auto" w:sz="4" w:space="0"/>
            </w:tcBorders>
            <w:noWrap/>
            <w:vAlign w:val="center"/>
          </w:tcPr>
          <w:p w14:paraId="7767F540">
            <w:pPr>
              <w:adjustRightInd w:val="0"/>
              <w:snapToGrid w:val="0"/>
              <w:spacing w:line="240" w:lineRule="auto"/>
              <w:ind w:firstLine="0" w:firstLineChars="0"/>
              <w:rPr>
                <w:rFonts w:ascii="宋体" w:hAnsi="宋体"/>
                <w:szCs w:val="21"/>
              </w:rPr>
            </w:pPr>
            <w:r>
              <w:rPr>
                <w:rFonts w:hint="eastAsia" w:ascii="宋体" w:hAnsi="宋体"/>
                <w:szCs w:val="21"/>
              </w:rPr>
              <w:t>输水洞、输水洞长度32m，单宽流量3.86m³/（s.m）泄水量11.6 m³/s</w:t>
            </w:r>
          </w:p>
        </w:tc>
      </w:tr>
      <w:tr w14:paraId="2FBC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07" w:type="dxa"/>
            <w:gridSpan w:val="8"/>
            <w:tcBorders>
              <w:right w:val="single" w:color="auto" w:sz="4" w:space="0"/>
            </w:tcBorders>
            <w:noWrap/>
            <w:vAlign w:val="center"/>
          </w:tcPr>
          <w:p w14:paraId="44C0FBBF">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32" w:type="dxa"/>
            <w:gridSpan w:val="4"/>
            <w:tcBorders>
              <w:right w:val="single" w:color="auto" w:sz="4" w:space="0"/>
            </w:tcBorders>
            <w:noWrap/>
            <w:vAlign w:val="center"/>
          </w:tcPr>
          <w:p w14:paraId="7C0EE621">
            <w:pPr>
              <w:adjustRightInd w:val="0"/>
              <w:snapToGrid w:val="0"/>
              <w:spacing w:line="240" w:lineRule="auto"/>
              <w:ind w:firstLine="0" w:firstLineChars="0"/>
              <w:rPr>
                <w:rFonts w:ascii="宋体" w:hAnsi="宋体"/>
                <w:szCs w:val="21"/>
              </w:rPr>
            </w:pPr>
            <w:r>
              <w:rPr>
                <w:rFonts w:hint="eastAsia" w:ascii="宋体" w:hAnsi="宋体"/>
                <w:szCs w:val="21"/>
              </w:rPr>
              <w:t>无</w:t>
            </w:r>
          </w:p>
        </w:tc>
        <w:tc>
          <w:tcPr>
            <w:tcW w:w="2121" w:type="dxa"/>
            <w:gridSpan w:val="3"/>
            <w:tcBorders>
              <w:right w:val="single" w:color="auto" w:sz="4" w:space="0"/>
            </w:tcBorders>
            <w:noWrap/>
            <w:vAlign w:val="center"/>
          </w:tcPr>
          <w:p w14:paraId="6E027DF7">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40" w:type="dxa"/>
            <w:tcBorders>
              <w:left w:val="single" w:color="auto" w:sz="4" w:space="0"/>
            </w:tcBorders>
            <w:noWrap/>
            <w:vAlign w:val="center"/>
          </w:tcPr>
          <w:p w14:paraId="3341F10F">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643A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33" w:type="dxa"/>
            <w:gridSpan w:val="4"/>
            <w:tcBorders>
              <w:top w:val="single" w:color="auto" w:sz="4" w:space="0"/>
              <w:bottom w:val="single" w:color="auto" w:sz="4" w:space="0"/>
              <w:right w:val="single" w:color="auto" w:sz="4" w:space="0"/>
            </w:tcBorders>
            <w:noWrap/>
            <w:vAlign w:val="center"/>
          </w:tcPr>
          <w:p w14:paraId="0CBF0046">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706" w:type="dxa"/>
            <w:gridSpan w:val="8"/>
            <w:noWrap/>
            <w:vAlign w:val="center"/>
          </w:tcPr>
          <w:p w14:paraId="18EEC933">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61" w:type="dxa"/>
            <w:gridSpan w:val="4"/>
            <w:vMerge w:val="restart"/>
            <w:noWrap/>
            <w:vAlign w:val="center"/>
          </w:tcPr>
          <w:p w14:paraId="08DF9C97">
            <w:pPr>
              <w:adjustRightInd w:val="0"/>
              <w:snapToGrid w:val="0"/>
              <w:spacing w:line="240" w:lineRule="auto"/>
              <w:ind w:firstLine="0" w:firstLineChars="0"/>
              <w:rPr>
                <w:rFonts w:ascii="宋体" w:hAnsi="宋体"/>
                <w:szCs w:val="21"/>
              </w:rPr>
            </w:pPr>
            <w:r>
              <w:rPr>
                <w:rFonts w:hint="eastAsia" w:ascii="宋体" w:hAnsi="宋体"/>
                <w:szCs w:val="21"/>
              </w:rPr>
              <w:t>汛限水位:1428.7米</w:t>
            </w:r>
          </w:p>
        </w:tc>
      </w:tr>
      <w:tr w14:paraId="5ACB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33" w:type="dxa"/>
            <w:gridSpan w:val="4"/>
            <w:tcBorders>
              <w:top w:val="single" w:color="auto" w:sz="4" w:space="0"/>
              <w:bottom w:val="single" w:color="auto" w:sz="4" w:space="0"/>
              <w:right w:val="single" w:color="auto" w:sz="4" w:space="0"/>
            </w:tcBorders>
            <w:noWrap/>
            <w:vAlign w:val="center"/>
          </w:tcPr>
          <w:p w14:paraId="6D2E3B23">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706" w:type="dxa"/>
            <w:gridSpan w:val="8"/>
            <w:noWrap/>
            <w:vAlign w:val="center"/>
          </w:tcPr>
          <w:p w14:paraId="3F2E77B1">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61" w:type="dxa"/>
            <w:gridSpan w:val="4"/>
            <w:vMerge w:val="continue"/>
            <w:noWrap/>
            <w:vAlign w:val="center"/>
          </w:tcPr>
          <w:p w14:paraId="6D322F12">
            <w:pPr>
              <w:adjustRightInd w:val="0"/>
              <w:snapToGrid w:val="0"/>
              <w:spacing w:line="240" w:lineRule="auto"/>
              <w:ind w:firstLine="0" w:firstLineChars="0"/>
              <w:rPr>
                <w:rFonts w:ascii="宋体" w:hAnsi="宋体"/>
                <w:szCs w:val="21"/>
              </w:rPr>
            </w:pPr>
          </w:p>
        </w:tc>
      </w:tr>
      <w:tr w14:paraId="4ADE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exact"/>
          <w:jc w:val="center"/>
        </w:trPr>
        <w:tc>
          <w:tcPr>
            <w:tcW w:w="836" w:type="dxa"/>
            <w:tcBorders>
              <w:top w:val="single" w:color="auto" w:sz="4" w:space="0"/>
              <w:right w:val="single" w:color="auto" w:sz="4" w:space="0"/>
            </w:tcBorders>
            <w:noWrap/>
            <w:vAlign w:val="center"/>
          </w:tcPr>
          <w:p w14:paraId="4BD7F6D4">
            <w:pPr>
              <w:adjustRightInd w:val="0"/>
              <w:snapToGrid w:val="0"/>
              <w:spacing w:line="240" w:lineRule="auto"/>
              <w:ind w:firstLine="0" w:firstLineChars="0"/>
              <w:rPr>
                <w:rFonts w:ascii="宋体" w:hAnsi="宋体"/>
                <w:szCs w:val="21"/>
              </w:rPr>
            </w:pPr>
            <w:r>
              <w:rPr>
                <w:rFonts w:hint="eastAsia" w:ascii="宋体" w:hAnsi="宋体"/>
                <w:szCs w:val="21"/>
              </w:rPr>
              <w:t>汛 期调 度方 式</w:t>
            </w:r>
          </w:p>
        </w:tc>
        <w:tc>
          <w:tcPr>
            <w:tcW w:w="8564" w:type="dxa"/>
            <w:gridSpan w:val="15"/>
            <w:tcBorders>
              <w:left w:val="single" w:color="auto" w:sz="4" w:space="0"/>
            </w:tcBorders>
            <w:noWrap/>
            <w:vAlign w:val="center"/>
          </w:tcPr>
          <w:p w14:paraId="608C8479">
            <w:pPr>
              <w:adjustRightInd w:val="0"/>
              <w:snapToGrid w:val="0"/>
              <w:spacing w:line="240" w:lineRule="auto"/>
              <w:ind w:firstLine="0" w:firstLineChars="0"/>
              <w:rPr>
                <w:rFonts w:ascii="宋体" w:hAnsi="宋体"/>
                <w:szCs w:val="21"/>
              </w:rPr>
            </w:pPr>
            <w:r>
              <w:rPr>
                <w:rFonts w:hint="eastAsia" w:ascii="宋体" w:hAnsi="宋体"/>
                <w:szCs w:val="21"/>
              </w:rPr>
              <w:t xml:space="preserve">在汛期，黄岗梁水库总库容量为42万m³，设计洪水位为1428.7m，校核洪水位为1429.1m，最大泄洪量为11.6 m³/s。该水库运用方式是在汛期用泄洪洞（输水洞）闸门进行控制，水位超过汛限水位时开放闸门，当水位降到汛限水位时将闸门关闭，水位保持在正常高水位以下。 </w:t>
            </w:r>
          </w:p>
          <w:p w14:paraId="7EF6F727">
            <w:pPr>
              <w:adjustRightInd w:val="0"/>
              <w:snapToGrid w:val="0"/>
              <w:spacing w:line="240" w:lineRule="auto"/>
              <w:ind w:firstLine="0" w:firstLineChars="0"/>
              <w:rPr>
                <w:rFonts w:ascii="宋体" w:hAnsi="宋体"/>
                <w:szCs w:val="21"/>
              </w:rPr>
            </w:pPr>
          </w:p>
        </w:tc>
      </w:tr>
      <w:tr w14:paraId="3EDE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927" w:type="dxa"/>
            <w:gridSpan w:val="6"/>
            <w:tcBorders>
              <w:right w:val="single" w:color="auto" w:sz="4" w:space="0"/>
            </w:tcBorders>
            <w:noWrap/>
            <w:vAlign w:val="center"/>
          </w:tcPr>
          <w:p w14:paraId="78D87F91">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73" w:type="dxa"/>
            <w:gridSpan w:val="10"/>
            <w:noWrap/>
            <w:vAlign w:val="center"/>
          </w:tcPr>
          <w:p w14:paraId="06C2053D">
            <w:pPr>
              <w:adjustRightInd w:val="0"/>
              <w:snapToGrid w:val="0"/>
              <w:spacing w:line="240" w:lineRule="auto"/>
              <w:ind w:firstLine="0" w:firstLineChars="0"/>
              <w:rPr>
                <w:rFonts w:ascii="宋体" w:hAnsi="宋体"/>
                <w:szCs w:val="21"/>
              </w:rPr>
            </w:pPr>
            <w:r>
              <w:rPr>
                <w:rFonts w:hint="eastAsia" w:ascii="宋体" w:hAnsi="宋体"/>
                <w:szCs w:val="21"/>
              </w:rPr>
              <w:t>下游5个自然村1500人，0.9万亩耕地的安全。</w:t>
            </w:r>
          </w:p>
        </w:tc>
      </w:tr>
    </w:tbl>
    <w:p w14:paraId="5FCED28F">
      <w:pPr>
        <w:spacing w:line="240" w:lineRule="auto"/>
        <w:ind w:firstLine="0" w:firstLineChars="0"/>
        <w:jc w:val="center"/>
        <w:rPr>
          <w:rFonts w:hint="eastAsia" w:ascii="宋体" w:hAnsi="宋体"/>
          <w:b/>
          <w:sz w:val="32"/>
          <w:szCs w:val="32"/>
        </w:rPr>
      </w:pPr>
    </w:p>
    <w:p w14:paraId="19B634C0">
      <w:pPr>
        <w:spacing w:line="240" w:lineRule="auto"/>
        <w:ind w:firstLine="0" w:firstLineChars="0"/>
        <w:jc w:val="center"/>
        <w:rPr>
          <w:rFonts w:ascii="宋体" w:hAnsi="宋体"/>
          <w:b/>
          <w:sz w:val="32"/>
          <w:szCs w:val="32"/>
        </w:rPr>
      </w:pPr>
      <w:r>
        <w:rPr>
          <w:rFonts w:hint="eastAsia" w:ascii="宋体" w:hAnsi="宋体"/>
          <w:b/>
          <w:sz w:val="32"/>
          <w:szCs w:val="32"/>
        </w:rPr>
        <w:t>桦木沟水库安全度汛明白卡</w:t>
      </w:r>
    </w:p>
    <w:tbl>
      <w:tblPr>
        <w:tblStyle w:val="21"/>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447"/>
        <w:gridCol w:w="316"/>
        <w:gridCol w:w="365"/>
        <w:gridCol w:w="39"/>
        <w:gridCol w:w="1301"/>
        <w:gridCol w:w="970"/>
        <w:gridCol w:w="380"/>
        <w:gridCol w:w="674"/>
        <w:gridCol w:w="846"/>
        <w:gridCol w:w="1214"/>
        <w:gridCol w:w="58"/>
        <w:gridCol w:w="1949"/>
      </w:tblGrid>
      <w:tr w14:paraId="3259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80" w:type="dxa"/>
            <w:gridSpan w:val="7"/>
            <w:noWrap/>
            <w:vAlign w:val="center"/>
          </w:tcPr>
          <w:p w14:paraId="4F33C624">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21" w:type="dxa"/>
            <w:gridSpan w:val="6"/>
            <w:noWrap/>
            <w:vAlign w:val="center"/>
          </w:tcPr>
          <w:p w14:paraId="761404CA">
            <w:pPr>
              <w:adjustRightInd w:val="0"/>
              <w:snapToGrid w:val="0"/>
              <w:spacing w:line="240" w:lineRule="auto"/>
              <w:ind w:firstLine="0" w:firstLineChars="0"/>
              <w:rPr>
                <w:rFonts w:ascii="宋体" w:hAnsi="宋体"/>
                <w:szCs w:val="21"/>
              </w:rPr>
            </w:pPr>
            <w:r>
              <w:rPr>
                <w:rFonts w:hint="eastAsia" w:ascii="宋体" w:hAnsi="宋体"/>
                <w:szCs w:val="21"/>
              </w:rPr>
              <w:t>克旗红山子乡天太永村</w:t>
            </w:r>
          </w:p>
        </w:tc>
      </w:tr>
      <w:tr w14:paraId="3F41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09" w:type="dxa"/>
            <w:gridSpan w:val="5"/>
            <w:tcBorders>
              <w:right w:val="single" w:color="auto" w:sz="4" w:space="0"/>
            </w:tcBorders>
            <w:noWrap/>
            <w:vAlign w:val="center"/>
          </w:tcPr>
          <w:p w14:paraId="1A6F62D7">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392" w:type="dxa"/>
            <w:gridSpan w:val="8"/>
            <w:tcBorders>
              <w:left w:val="single" w:color="auto" w:sz="4" w:space="0"/>
            </w:tcBorders>
            <w:noWrap/>
            <w:vAlign w:val="center"/>
          </w:tcPr>
          <w:p w14:paraId="6D634E99">
            <w:pPr>
              <w:adjustRightInd w:val="0"/>
              <w:snapToGrid w:val="0"/>
              <w:spacing w:line="240" w:lineRule="auto"/>
              <w:ind w:firstLine="0" w:firstLineChars="0"/>
              <w:rPr>
                <w:rFonts w:ascii="宋体" w:hAnsi="宋体"/>
                <w:szCs w:val="21"/>
              </w:rPr>
            </w:pPr>
            <w:r>
              <w:rPr>
                <w:rFonts w:hint="eastAsia" w:ascii="宋体" w:hAnsi="宋体"/>
                <w:szCs w:val="21"/>
              </w:rPr>
              <w:t>灌溉为主、养殖、生态旅游</w:t>
            </w:r>
          </w:p>
        </w:tc>
      </w:tr>
      <w:tr w14:paraId="16E7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09" w:type="dxa"/>
            <w:gridSpan w:val="5"/>
            <w:tcBorders>
              <w:right w:val="single" w:color="auto" w:sz="4" w:space="0"/>
            </w:tcBorders>
            <w:noWrap/>
            <w:vAlign w:val="center"/>
          </w:tcPr>
          <w:p w14:paraId="4F1D41C5">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271" w:type="dxa"/>
            <w:gridSpan w:val="2"/>
            <w:tcBorders>
              <w:left w:val="single" w:color="auto" w:sz="4" w:space="0"/>
            </w:tcBorders>
            <w:noWrap/>
            <w:vAlign w:val="center"/>
          </w:tcPr>
          <w:p w14:paraId="5D1C0766">
            <w:pPr>
              <w:adjustRightInd w:val="0"/>
              <w:snapToGrid w:val="0"/>
              <w:spacing w:line="240" w:lineRule="auto"/>
              <w:ind w:firstLine="0" w:firstLineChars="0"/>
              <w:rPr>
                <w:rFonts w:ascii="宋体" w:hAnsi="宋体"/>
                <w:szCs w:val="21"/>
              </w:rPr>
            </w:pPr>
            <w:r>
              <w:rPr>
                <w:rFonts w:hint="eastAsia" w:ascii="宋体" w:hAnsi="宋体"/>
                <w:szCs w:val="21"/>
              </w:rPr>
              <w:t>桦木沟河</w:t>
            </w:r>
          </w:p>
        </w:tc>
        <w:tc>
          <w:tcPr>
            <w:tcW w:w="1900" w:type="dxa"/>
            <w:gridSpan w:val="3"/>
            <w:tcBorders>
              <w:top w:val="single" w:color="auto" w:sz="4" w:space="0"/>
              <w:bottom w:val="single" w:color="auto" w:sz="4" w:space="0"/>
              <w:right w:val="single" w:color="auto" w:sz="4" w:space="0"/>
            </w:tcBorders>
            <w:noWrap/>
            <w:vAlign w:val="center"/>
          </w:tcPr>
          <w:p w14:paraId="26F0BAAA">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21" w:type="dxa"/>
            <w:gridSpan w:val="3"/>
            <w:tcBorders>
              <w:top w:val="single" w:color="auto" w:sz="4" w:space="0"/>
              <w:bottom w:val="single" w:color="auto" w:sz="4" w:space="0"/>
            </w:tcBorders>
            <w:noWrap/>
            <w:vAlign w:val="center"/>
          </w:tcPr>
          <w:p w14:paraId="0C2CA688">
            <w:pPr>
              <w:adjustRightInd w:val="0"/>
              <w:snapToGrid w:val="0"/>
              <w:spacing w:line="240" w:lineRule="auto"/>
              <w:ind w:firstLine="0" w:firstLineChars="0"/>
              <w:rPr>
                <w:rFonts w:ascii="宋体" w:hAnsi="宋体"/>
                <w:szCs w:val="21"/>
              </w:rPr>
            </w:pPr>
            <w:r>
              <w:rPr>
                <w:rFonts w:hint="eastAsia" w:ascii="宋体" w:hAnsi="宋体"/>
                <w:szCs w:val="21"/>
              </w:rPr>
              <w:t>克旗林业局</w:t>
            </w:r>
          </w:p>
        </w:tc>
      </w:tr>
      <w:tr w14:paraId="5A0D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09" w:type="dxa"/>
            <w:gridSpan w:val="5"/>
            <w:noWrap/>
            <w:vAlign w:val="center"/>
          </w:tcPr>
          <w:p w14:paraId="21D4C7B3">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171" w:type="dxa"/>
            <w:gridSpan w:val="5"/>
            <w:tcBorders>
              <w:right w:val="single" w:color="auto" w:sz="4" w:space="0"/>
            </w:tcBorders>
            <w:noWrap/>
            <w:vAlign w:val="center"/>
          </w:tcPr>
          <w:p w14:paraId="636D5BDB">
            <w:pPr>
              <w:adjustRightInd w:val="0"/>
              <w:snapToGrid w:val="0"/>
              <w:spacing w:line="240" w:lineRule="auto"/>
              <w:ind w:firstLine="0" w:firstLineChars="0"/>
              <w:rPr>
                <w:rFonts w:ascii="宋体" w:hAnsi="宋体"/>
                <w:szCs w:val="21"/>
              </w:rPr>
            </w:pPr>
            <w:r>
              <w:rPr>
                <w:rFonts w:hint="eastAsia" w:ascii="宋体" w:hAnsi="宋体"/>
                <w:szCs w:val="21"/>
              </w:rPr>
              <w:t>主坝：浆砌石重力坝，副坝：均质土坝</w:t>
            </w:r>
          </w:p>
        </w:tc>
        <w:tc>
          <w:tcPr>
            <w:tcW w:w="1214" w:type="dxa"/>
            <w:tcBorders>
              <w:left w:val="single" w:color="auto" w:sz="4" w:space="0"/>
              <w:right w:val="single" w:color="auto" w:sz="4" w:space="0"/>
            </w:tcBorders>
            <w:noWrap/>
            <w:vAlign w:val="center"/>
          </w:tcPr>
          <w:p w14:paraId="554C2B25">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07" w:type="dxa"/>
            <w:gridSpan w:val="2"/>
            <w:tcBorders>
              <w:left w:val="single" w:color="auto" w:sz="4" w:space="0"/>
            </w:tcBorders>
            <w:noWrap/>
            <w:vAlign w:val="center"/>
          </w:tcPr>
          <w:p w14:paraId="44B5CDD1">
            <w:pPr>
              <w:adjustRightInd w:val="0"/>
              <w:snapToGrid w:val="0"/>
              <w:spacing w:line="240" w:lineRule="auto"/>
              <w:ind w:firstLine="0" w:firstLineChars="0"/>
              <w:rPr>
                <w:rFonts w:ascii="宋体" w:hAnsi="宋体"/>
                <w:szCs w:val="21"/>
              </w:rPr>
            </w:pPr>
            <w:r>
              <w:rPr>
                <w:rFonts w:hint="eastAsia" w:ascii="宋体" w:hAnsi="宋体"/>
                <w:szCs w:val="21"/>
              </w:rPr>
              <w:t>132.4米</w:t>
            </w:r>
          </w:p>
        </w:tc>
      </w:tr>
      <w:tr w14:paraId="31A1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05" w:type="dxa"/>
            <w:gridSpan w:val="3"/>
            <w:tcBorders>
              <w:right w:val="single" w:color="auto" w:sz="4" w:space="0"/>
            </w:tcBorders>
            <w:noWrap/>
            <w:vAlign w:val="center"/>
          </w:tcPr>
          <w:p w14:paraId="347D08A8">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055" w:type="dxa"/>
            <w:gridSpan w:val="5"/>
            <w:tcBorders>
              <w:left w:val="single" w:color="auto" w:sz="4" w:space="0"/>
              <w:right w:val="single" w:color="auto" w:sz="4" w:space="0"/>
            </w:tcBorders>
            <w:noWrap/>
            <w:vAlign w:val="center"/>
          </w:tcPr>
          <w:p w14:paraId="3748614F">
            <w:pPr>
              <w:adjustRightInd w:val="0"/>
              <w:snapToGrid w:val="0"/>
              <w:spacing w:line="240" w:lineRule="auto"/>
              <w:ind w:firstLine="0" w:firstLineChars="0"/>
              <w:rPr>
                <w:rFonts w:ascii="宋体" w:hAnsi="宋体"/>
                <w:szCs w:val="21"/>
              </w:rPr>
            </w:pPr>
            <w:r>
              <w:rPr>
                <w:rFonts w:hint="eastAsia" w:ascii="宋体" w:hAnsi="宋体"/>
                <w:szCs w:val="21"/>
              </w:rPr>
              <w:t>25.44万m³</w:t>
            </w:r>
          </w:p>
        </w:tc>
        <w:tc>
          <w:tcPr>
            <w:tcW w:w="2734" w:type="dxa"/>
            <w:gridSpan w:val="3"/>
            <w:tcBorders>
              <w:left w:val="single" w:color="auto" w:sz="4" w:space="0"/>
              <w:right w:val="single" w:color="auto" w:sz="4" w:space="0"/>
            </w:tcBorders>
            <w:noWrap/>
            <w:vAlign w:val="center"/>
          </w:tcPr>
          <w:p w14:paraId="3C7E1DFB">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07" w:type="dxa"/>
            <w:gridSpan w:val="2"/>
            <w:tcBorders>
              <w:left w:val="single" w:color="auto" w:sz="4" w:space="0"/>
            </w:tcBorders>
            <w:noWrap/>
            <w:vAlign w:val="center"/>
          </w:tcPr>
          <w:p w14:paraId="593ECAB9">
            <w:pPr>
              <w:adjustRightInd w:val="0"/>
              <w:snapToGrid w:val="0"/>
              <w:spacing w:line="240" w:lineRule="auto"/>
              <w:ind w:firstLine="0" w:firstLineChars="0"/>
              <w:rPr>
                <w:rFonts w:ascii="宋体" w:hAnsi="宋体"/>
                <w:szCs w:val="21"/>
              </w:rPr>
            </w:pPr>
            <w:r>
              <w:rPr>
                <w:rFonts w:hint="eastAsia" w:ascii="宋体" w:hAnsi="宋体"/>
                <w:szCs w:val="21"/>
              </w:rPr>
              <w:t>1441.00米</w:t>
            </w:r>
          </w:p>
        </w:tc>
      </w:tr>
      <w:tr w14:paraId="45CD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70" w:type="dxa"/>
            <w:gridSpan w:val="4"/>
            <w:noWrap/>
            <w:vAlign w:val="center"/>
          </w:tcPr>
          <w:p w14:paraId="1F69AE2B">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690" w:type="dxa"/>
            <w:gridSpan w:val="4"/>
            <w:tcBorders>
              <w:right w:val="single" w:color="auto" w:sz="4" w:space="0"/>
            </w:tcBorders>
            <w:noWrap/>
            <w:vAlign w:val="center"/>
          </w:tcPr>
          <w:p w14:paraId="7B5BE66B">
            <w:pPr>
              <w:adjustRightInd w:val="0"/>
              <w:snapToGrid w:val="0"/>
              <w:spacing w:line="240" w:lineRule="auto"/>
              <w:ind w:firstLine="0" w:firstLineChars="0"/>
              <w:rPr>
                <w:rFonts w:ascii="宋体" w:hAnsi="宋体"/>
                <w:szCs w:val="21"/>
              </w:rPr>
            </w:pPr>
            <w:r>
              <w:rPr>
                <w:rFonts w:hint="eastAsia" w:ascii="宋体" w:hAnsi="宋体"/>
                <w:szCs w:val="21"/>
              </w:rPr>
              <w:t>1444.00米</w:t>
            </w:r>
          </w:p>
        </w:tc>
        <w:tc>
          <w:tcPr>
            <w:tcW w:w="2734" w:type="dxa"/>
            <w:gridSpan w:val="3"/>
            <w:tcBorders>
              <w:left w:val="single" w:color="auto" w:sz="4" w:space="0"/>
            </w:tcBorders>
            <w:noWrap/>
            <w:vAlign w:val="center"/>
          </w:tcPr>
          <w:p w14:paraId="6D018F10">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07" w:type="dxa"/>
            <w:gridSpan w:val="2"/>
            <w:noWrap/>
            <w:vAlign w:val="center"/>
          </w:tcPr>
          <w:p w14:paraId="35EF89DB">
            <w:pPr>
              <w:adjustRightInd w:val="0"/>
              <w:snapToGrid w:val="0"/>
              <w:spacing w:line="240" w:lineRule="auto"/>
              <w:ind w:firstLine="0" w:firstLineChars="0"/>
              <w:rPr>
                <w:rFonts w:ascii="宋体" w:hAnsi="宋体"/>
                <w:szCs w:val="21"/>
              </w:rPr>
            </w:pPr>
            <w:r>
              <w:rPr>
                <w:rFonts w:hint="eastAsia" w:ascii="宋体" w:hAnsi="宋体"/>
                <w:szCs w:val="21"/>
              </w:rPr>
              <w:t>15.5米</w:t>
            </w:r>
          </w:p>
        </w:tc>
      </w:tr>
      <w:tr w14:paraId="602D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1605" w:type="dxa"/>
            <w:gridSpan w:val="3"/>
            <w:tcBorders>
              <w:right w:val="single" w:color="auto" w:sz="4" w:space="0"/>
            </w:tcBorders>
            <w:noWrap/>
            <w:vAlign w:val="center"/>
          </w:tcPr>
          <w:p w14:paraId="740831D6">
            <w:pPr>
              <w:adjustRightInd w:val="0"/>
              <w:snapToGrid w:val="0"/>
              <w:spacing w:line="240" w:lineRule="auto"/>
              <w:ind w:firstLine="0" w:firstLineChars="0"/>
              <w:rPr>
                <w:rFonts w:ascii="宋体" w:hAnsi="宋体"/>
                <w:szCs w:val="21"/>
              </w:rPr>
            </w:pPr>
            <w:r>
              <w:rPr>
                <w:rFonts w:hint="eastAsia" w:ascii="宋体" w:hAnsi="宋体"/>
                <w:szCs w:val="21"/>
              </w:rPr>
              <w:t>泄洪建筑物</w:t>
            </w:r>
          </w:p>
        </w:tc>
        <w:tc>
          <w:tcPr>
            <w:tcW w:w="7796" w:type="dxa"/>
            <w:gridSpan w:val="10"/>
            <w:tcBorders>
              <w:left w:val="single" w:color="auto" w:sz="4" w:space="0"/>
            </w:tcBorders>
            <w:noWrap/>
            <w:vAlign w:val="center"/>
          </w:tcPr>
          <w:p w14:paraId="48E39D44">
            <w:pPr>
              <w:adjustRightInd w:val="0"/>
              <w:snapToGrid w:val="0"/>
              <w:spacing w:line="240" w:lineRule="auto"/>
              <w:ind w:firstLine="0" w:firstLineChars="0"/>
              <w:rPr>
                <w:rFonts w:ascii="宋体" w:hAnsi="宋体"/>
                <w:szCs w:val="21"/>
              </w:rPr>
            </w:pPr>
            <w:r>
              <w:rPr>
                <w:rFonts w:hint="eastAsia" w:ascii="宋体" w:hAnsi="宋体"/>
                <w:szCs w:val="21"/>
              </w:rPr>
              <w:t>1条2.5米*1.8米洞径的泄洪隧洞，泄洪洞最大泄量48m³/s</w:t>
            </w:r>
          </w:p>
        </w:tc>
      </w:tr>
      <w:tr w14:paraId="40C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10" w:type="dxa"/>
            <w:gridSpan w:val="6"/>
            <w:tcBorders>
              <w:right w:val="single" w:color="auto" w:sz="4" w:space="0"/>
            </w:tcBorders>
            <w:noWrap/>
            <w:vAlign w:val="center"/>
          </w:tcPr>
          <w:p w14:paraId="07C5B1A6">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24" w:type="dxa"/>
            <w:gridSpan w:val="3"/>
            <w:tcBorders>
              <w:right w:val="single" w:color="auto" w:sz="4" w:space="0"/>
            </w:tcBorders>
            <w:noWrap/>
            <w:vAlign w:val="center"/>
          </w:tcPr>
          <w:p w14:paraId="0838FCC9">
            <w:pPr>
              <w:adjustRightInd w:val="0"/>
              <w:snapToGrid w:val="0"/>
              <w:spacing w:line="240" w:lineRule="auto"/>
              <w:ind w:firstLine="0" w:firstLineChars="0"/>
              <w:rPr>
                <w:rFonts w:ascii="宋体" w:hAnsi="宋体"/>
                <w:szCs w:val="21"/>
              </w:rPr>
            </w:pPr>
            <w:r>
              <w:rPr>
                <w:rFonts w:hint="eastAsia" w:ascii="宋体" w:hAnsi="宋体"/>
                <w:szCs w:val="21"/>
              </w:rPr>
              <w:t>人工</w:t>
            </w:r>
          </w:p>
        </w:tc>
        <w:tc>
          <w:tcPr>
            <w:tcW w:w="2118" w:type="dxa"/>
            <w:gridSpan w:val="3"/>
            <w:tcBorders>
              <w:right w:val="single" w:color="auto" w:sz="4" w:space="0"/>
            </w:tcBorders>
            <w:noWrap/>
            <w:vAlign w:val="center"/>
          </w:tcPr>
          <w:p w14:paraId="2D4B3A15">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49" w:type="dxa"/>
            <w:tcBorders>
              <w:left w:val="single" w:color="auto" w:sz="4" w:space="0"/>
            </w:tcBorders>
            <w:noWrap/>
            <w:vAlign w:val="center"/>
          </w:tcPr>
          <w:p w14:paraId="7DFE1F23">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5671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1289" w:type="dxa"/>
            <w:gridSpan w:val="2"/>
            <w:tcBorders>
              <w:top w:val="single" w:color="auto" w:sz="4" w:space="0"/>
              <w:bottom w:val="single" w:color="auto" w:sz="4" w:space="0"/>
              <w:right w:val="single" w:color="auto" w:sz="4" w:space="0"/>
            </w:tcBorders>
            <w:noWrap/>
            <w:vAlign w:val="center"/>
          </w:tcPr>
          <w:p w14:paraId="7DAA905E">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4045" w:type="dxa"/>
            <w:gridSpan w:val="7"/>
            <w:noWrap/>
            <w:vAlign w:val="center"/>
          </w:tcPr>
          <w:p w14:paraId="219EF250">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9月30日，4月1日</w:t>
            </w:r>
            <w:r>
              <w:rPr>
                <w:rFonts w:hint="eastAsia" w:ascii="宋体" w:hAnsi="宋体"/>
                <w:szCs w:val="21"/>
                <w:lang w:eastAsia="zh-CN"/>
              </w:rPr>
              <w:t>—</w:t>
            </w:r>
            <w:r>
              <w:rPr>
                <w:rFonts w:hint="eastAsia" w:ascii="宋体" w:hAnsi="宋体"/>
                <w:szCs w:val="21"/>
              </w:rPr>
              <w:t>5月1日</w:t>
            </w:r>
          </w:p>
        </w:tc>
        <w:tc>
          <w:tcPr>
            <w:tcW w:w="4067" w:type="dxa"/>
            <w:gridSpan w:val="4"/>
            <w:vMerge w:val="restart"/>
            <w:noWrap/>
            <w:vAlign w:val="center"/>
          </w:tcPr>
          <w:p w14:paraId="0FB25622">
            <w:pPr>
              <w:adjustRightInd w:val="0"/>
              <w:snapToGrid w:val="0"/>
              <w:spacing w:line="240" w:lineRule="auto"/>
              <w:ind w:firstLine="0" w:firstLineChars="0"/>
              <w:rPr>
                <w:rFonts w:ascii="宋体" w:hAnsi="宋体"/>
                <w:szCs w:val="21"/>
              </w:rPr>
            </w:pPr>
            <w:r>
              <w:rPr>
                <w:rFonts w:hint="eastAsia" w:ascii="宋体" w:hAnsi="宋体"/>
                <w:szCs w:val="21"/>
              </w:rPr>
              <w:t>汛限水位:1441.00米</w:t>
            </w:r>
          </w:p>
        </w:tc>
      </w:tr>
      <w:tr w14:paraId="05A8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9" w:type="dxa"/>
            <w:gridSpan w:val="2"/>
            <w:tcBorders>
              <w:top w:val="single" w:color="auto" w:sz="4" w:space="0"/>
              <w:bottom w:val="single" w:color="auto" w:sz="4" w:space="0"/>
              <w:right w:val="single" w:color="auto" w:sz="4" w:space="0"/>
            </w:tcBorders>
            <w:noWrap/>
            <w:vAlign w:val="center"/>
          </w:tcPr>
          <w:p w14:paraId="61C76923">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4045" w:type="dxa"/>
            <w:gridSpan w:val="7"/>
            <w:noWrap/>
            <w:vAlign w:val="center"/>
          </w:tcPr>
          <w:p w14:paraId="6AC042CD">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67" w:type="dxa"/>
            <w:gridSpan w:val="4"/>
            <w:vMerge w:val="continue"/>
            <w:noWrap/>
            <w:vAlign w:val="center"/>
          </w:tcPr>
          <w:p w14:paraId="597851A2">
            <w:pPr>
              <w:adjustRightInd w:val="0"/>
              <w:snapToGrid w:val="0"/>
              <w:spacing w:line="240" w:lineRule="auto"/>
              <w:ind w:firstLine="0" w:firstLineChars="0"/>
              <w:rPr>
                <w:rFonts w:ascii="宋体" w:hAnsi="宋体"/>
                <w:szCs w:val="21"/>
              </w:rPr>
            </w:pPr>
          </w:p>
        </w:tc>
      </w:tr>
      <w:tr w14:paraId="3FF5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jc w:val="center"/>
        </w:trPr>
        <w:tc>
          <w:tcPr>
            <w:tcW w:w="842" w:type="dxa"/>
            <w:tcBorders>
              <w:top w:val="single" w:color="auto" w:sz="4" w:space="0"/>
              <w:right w:val="single" w:color="auto" w:sz="4" w:space="0"/>
            </w:tcBorders>
            <w:noWrap/>
            <w:vAlign w:val="center"/>
          </w:tcPr>
          <w:p w14:paraId="5A5CC850">
            <w:pPr>
              <w:adjustRightInd w:val="0"/>
              <w:snapToGrid w:val="0"/>
              <w:spacing w:line="240" w:lineRule="auto"/>
              <w:ind w:firstLine="0" w:firstLineChars="0"/>
              <w:rPr>
                <w:rFonts w:ascii="宋体" w:hAnsi="宋体"/>
                <w:szCs w:val="21"/>
              </w:rPr>
            </w:pPr>
            <w:r>
              <w:rPr>
                <w:rFonts w:hint="eastAsia" w:ascii="宋体" w:hAnsi="宋体"/>
                <w:szCs w:val="21"/>
              </w:rPr>
              <w:t>汛期调度方 式</w:t>
            </w:r>
          </w:p>
        </w:tc>
        <w:tc>
          <w:tcPr>
            <w:tcW w:w="8559" w:type="dxa"/>
            <w:gridSpan w:val="12"/>
            <w:tcBorders>
              <w:left w:val="single" w:color="auto" w:sz="4" w:space="0"/>
            </w:tcBorders>
            <w:noWrap/>
            <w:vAlign w:val="center"/>
          </w:tcPr>
          <w:p w14:paraId="567D3DD1">
            <w:pPr>
              <w:adjustRightInd w:val="0"/>
              <w:snapToGrid w:val="0"/>
              <w:spacing w:line="240" w:lineRule="auto"/>
              <w:ind w:firstLine="0" w:firstLineChars="0"/>
              <w:rPr>
                <w:rFonts w:ascii="宋体" w:hAnsi="宋体"/>
                <w:szCs w:val="21"/>
              </w:rPr>
            </w:pPr>
            <w:r>
              <w:rPr>
                <w:rFonts w:hint="eastAsia" w:ascii="宋体" w:hAnsi="宋体"/>
                <w:szCs w:val="21"/>
              </w:rPr>
              <w:t>初汛期水位控制在1440.5米以下，主汛期水位限制在1440.00米以下，后汛期限制水位在1140.8米，正常水位控制在1441.00米。校核洪水位为1442.4米，最大泄洪量为39.2 m³/s</w:t>
            </w:r>
          </w:p>
        </w:tc>
      </w:tr>
      <w:tr w14:paraId="1ACC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jc w:val="center"/>
        </w:trPr>
        <w:tc>
          <w:tcPr>
            <w:tcW w:w="1970" w:type="dxa"/>
            <w:gridSpan w:val="4"/>
            <w:tcBorders>
              <w:right w:val="single" w:color="auto" w:sz="4" w:space="0"/>
            </w:tcBorders>
            <w:noWrap/>
            <w:vAlign w:val="center"/>
          </w:tcPr>
          <w:p w14:paraId="3A10DCE5">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31" w:type="dxa"/>
            <w:gridSpan w:val="9"/>
            <w:noWrap/>
            <w:vAlign w:val="center"/>
          </w:tcPr>
          <w:p w14:paraId="6B62D0B1">
            <w:pPr>
              <w:adjustRightInd w:val="0"/>
              <w:snapToGrid w:val="0"/>
              <w:spacing w:line="240" w:lineRule="auto"/>
              <w:ind w:firstLine="0" w:firstLineChars="0"/>
              <w:rPr>
                <w:rFonts w:ascii="宋体" w:hAnsi="宋体"/>
                <w:szCs w:val="21"/>
              </w:rPr>
            </w:pPr>
            <w:r>
              <w:rPr>
                <w:rFonts w:hint="eastAsia" w:ascii="宋体" w:hAnsi="宋体"/>
                <w:szCs w:val="21"/>
              </w:rPr>
              <w:t>天太永村蛤蟆坝组、永义成组。</w:t>
            </w:r>
          </w:p>
        </w:tc>
      </w:tr>
    </w:tbl>
    <w:p w14:paraId="348ED63F">
      <w:pPr>
        <w:spacing w:line="240" w:lineRule="auto"/>
        <w:ind w:firstLine="0" w:firstLineChars="0"/>
        <w:jc w:val="center"/>
        <w:rPr>
          <w:rFonts w:ascii="宋体" w:hAnsi="宋体"/>
          <w:b/>
          <w:sz w:val="32"/>
          <w:szCs w:val="32"/>
        </w:rPr>
      </w:pPr>
      <w:r>
        <w:rPr>
          <w:rFonts w:hint="eastAsia" w:ascii="宋体" w:hAnsi="宋体"/>
          <w:b/>
          <w:sz w:val="32"/>
          <w:szCs w:val="32"/>
        </w:rPr>
        <w:t>胡家湾子水库安全度汛明白卡</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35"/>
        <w:gridCol w:w="21"/>
        <w:gridCol w:w="41"/>
        <w:gridCol w:w="256"/>
        <w:gridCol w:w="38"/>
        <w:gridCol w:w="30"/>
        <w:gridCol w:w="1350"/>
        <w:gridCol w:w="904"/>
        <w:gridCol w:w="73"/>
        <w:gridCol w:w="444"/>
        <w:gridCol w:w="611"/>
        <w:gridCol w:w="844"/>
        <w:gridCol w:w="1213"/>
        <w:gridCol w:w="64"/>
        <w:gridCol w:w="1940"/>
      </w:tblGrid>
      <w:tr w14:paraId="01B9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84" w:type="dxa"/>
            <w:gridSpan w:val="10"/>
            <w:noWrap/>
            <w:vAlign w:val="center"/>
          </w:tcPr>
          <w:p w14:paraId="7C3B35FA">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16" w:type="dxa"/>
            <w:gridSpan w:val="6"/>
            <w:noWrap/>
            <w:vAlign w:val="center"/>
          </w:tcPr>
          <w:p w14:paraId="30F71D4C">
            <w:pPr>
              <w:adjustRightInd w:val="0"/>
              <w:snapToGrid w:val="0"/>
              <w:spacing w:line="240" w:lineRule="auto"/>
              <w:ind w:firstLine="0" w:firstLineChars="0"/>
              <w:rPr>
                <w:rFonts w:ascii="宋体" w:hAnsi="宋体"/>
                <w:szCs w:val="21"/>
              </w:rPr>
            </w:pPr>
            <w:r>
              <w:rPr>
                <w:rFonts w:hint="eastAsia" w:ascii="宋体" w:hAnsi="宋体"/>
                <w:szCs w:val="21"/>
              </w:rPr>
              <w:t>克旗红山子乡</w:t>
            </w:r>
          </w:p>
        </w:tc>
      </w:tr>
      <w:tr w14:paraId="6A2B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7" w:type="dxa"/>
            <w:gridSpan w:val="7"/>
            <w:tcBorders>
              <w:right w:val="single" w:color="auto" w:sz="4" w:space="0"/>
            </w:tcBorders>
            <w:noWrap/>
            <w:vAlign w:val="center"/>
          </w:tcPr>
          <w:p w14:paraId="1FB618F6">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7443" w:type="dxa"/>
            <w:gridSpan w:val="9"/>
            <w:tcBorders>
              <w:left w:val="single" w:color="auto" w:sz="4" w:space="0"/>
            </w:tcBorders>
            <w:noWrap/>
            <w:vAlign w:val="center"/>
          </w:tcPr>
          <w:p w14:paraId="2DF14192">
            <w:pPr>
              <w:adjustRightInd w:val="0"/>
              <w:snapToGrid w:val="0"/>
              <w:spacing w:line="240" w:lineRule="auto"/>
              <w:ind w:firstLine="0" w:firstLineChars="0"/>
              <w:rPr>
                <w:rFonts w:ascii="宋体" w:hAnsi="宋体"/>
                <w:szCs w:val="21"/>
              </w:rPr>
            </w:pPr>
            <w:r>
              <w:rPr>
                <w:rFonts w:hint="eastAsia" w:ascii="宋体" w:hAnsi="宋体"/>
                <w:szCs w:val="21"/>
              </w:rPr>
              <w:t>城市防洪、供水、发电、农业灌溉</w:t>
            </w:r>
          </w:p>
        </w:tc>
      </w:tr>
      <w:tr w14:paraId="0686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7" w:type="dxa"/>
            <w:gridSpan w:val="7"/>
            <w:tcBorders>
              <w:right w:val="single" w:color="auto" w:sz="4" w:space="0"/>
            </w:tcBorders>
            <w:noWrap/>
            <w:vAlign w:val="center"/>
          </w:tcPr>
          <w:p w14:paraId="3AF6DC15">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254" w:type="dxa"/>
            <w:gridSpan w:val="2"/>
            <w:tcBorders>
              <w:left w:val="single" w:color="auto" w:sz="4" w:space="0"/>
            </w:tcBorders>
            <w:noWrap/>
            <w:vAlign w:val="center"/>
          </w:tcPr>
          <w:p w14:paraId="22926186">
            <w:pPr>
              <w:adjustRightInd w:val="0"/>
              <w:snapToGrid w:val="0"/>
              <w:spacing w:line="240" w:lineRule="auto"/>
              <w:ind w:firstLine="0" w:firstLineChars="0"/>
              <w:rPr>
                <w:rFonts w:ascii="宋体" w:hAnsi="宋体"/>
                <w:szCs w:val="21"/>
              </w:rPr>
            </w:pPr>
            <w:r>
              <w:rPr>
                <w:rFonts w:hint="eastAsia" w:ascii="宋体" w:hAnsi="宋体"/>
                <w:szCs w:val="21"/>
                <w:lang w:eastAsia="zh-CN"/>
              </w:rPr>
              <w:t>西拉木伦河</w:t>
            </w:r>
          </w:p>
        </w:tc>
        <w:tc>
          <w:tcPr>
            <w:tcW w:w="1972" w:type="dxa"/>
            <w:gridSpan w:val="4"/>
            <w:tcBorders>
              <w:top w:val="single" w:color="auto" w:sz="4" w:space="0"/>
              <w:bottom w:val="single" w:color="auto" w:sz="4" w:space="0"/>
              <w:right w:val="single" w:color="auto" w:sz="4" w:space="0"/>
            </w:tcBorders>
            <w:noWrap/>
            <w:vAlign w:val="center"/>
          </w:tcPr>
          <w:p w14:paraId="78422EF8">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17" w:type="dxa"/>
            <w:gridSpan w:val="3"/>
            <w:tcBorders>
              <w:top w:val="single" w:color="auto" w:sz="4" w:space="0"/>
              <w:bottom w:val="single" w:color="auto" w:sz="4" w:space="0"/>
            </w:tcBorders>
            <w:noWrap/>
            <w:vAlign w:val="center"/>
          </w:tcPr>
          <w:p w14:paraId="65F51477">
            <w:pPr>
              <w:adjustRightInd w:val="0"/>
              <w:snapToGrid w:val="0"/>
              <w:spacing w:line="240" w:lineRule="auto"/>
              <w:ind w:firstLine="0" w:firstLineChars="0"/>
              <w:rPr>
                <w:rFonts w:ascii="宋体" w:hAnsi="宋体"/>
                <w:szCs w:val="21"/>
              </w:rPr>
            </w:pPr>
            <w:r>
              <w:rPr>
                <w:rFonts w:hint="eastAsia" w:ascii="宋体" w:hAnsi="宋体"/>
                <w:szCs w:val="21"/>
              </w:rPr>
              <w:t>克旗水利局</w:t>
            </w:r>
          </w:p>
        </w:tc>
      </w:tr>
      <w:tr w14:paraId="29B0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7" w:type="dxa"/>
            <w:gridSpan w:val="7"/>
            <w:noWrap/>
            <w:vAlign w:val="center"/>
          </w:tcPr>
          <w:p w14:paraId="1753BE0C">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226" w:type="dxa"/>
            <w:gridSpan w:val="6"/>
            <w:tcBorders>
              <w:right w:val="single" w:color="auto" w:sz="4" w:space="0"/>
            </w:tcBorders>
            <w:noWrap/>
            <w:vAlign w:val="center"/>
          </w:tcPr>
          <w:p w14:paraId="54330DC9">
            <w:pPr>
              <w:adjustRightInd w:val="0"/>
              <w:snapToGrid w:val="0"/>
              <w:spacing w:line="240" w:lineRule="auto"/>
              <w:ind w:firstLine="0" w:firstLineChars="0"/>
              <w:rPr>
                <w:rFonts w:ascii="宋体" w:hAnsi="宋体"/>
                <w:szCs w:val="21"/>
              </w:rPr>
            </w:pPr>
            <w:r>
              <w:rPr>
                <w:rFonts w:hint="eastAsia" w:ascii="宋体" w:hAnsi="宋体"/>
                <w:szCs w:val="21"/>
              </w:rPr>
              <w:t>浆砌石重力坝、副坝土坝</w:t>
            </w:r>
          </w:p>
        </w:tc>
        <w:tc>
          <w:tcPr>
            <w:tcW w:w="1213" w:type="dxa"/>
            <w:tcBorders>
              <w:left w:val="single" w:color="auto" w:sz="4" w:space="0"/>
              <w:right w:val="single" w:color="auto" w:sz="4" w:space="0"/>
            </w:tcBorders>
            <w:noWrap/>
            <w:vAlign w:val="center"/>
          </w:tcPr>
          <w:p w14:paraId="0607289A">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04" w:type="dxa"/>
            <w:gridSpan w:val="2"/>
            <w:tcBorders>
              <w:left w:val="single" w:color="auto" w:sz="4" w:space="0"/>
            </w:tcBorders>
            <w:noWrap/>
            <w:vAlign w:val="center"/>
          </w:tcPr>
          <w:p w14:paraId="1DEDAE32">
            <w:pPr>
              <w:adjustRightInd w:val="0"/>
              <w:snapToGrid w:val="0"/>
              <w:spacing w:line="240" w:lineRule="auto"/>
              <w:ind w:firstLine="0" w:firstLineChars="0"/>
              <w:rPr>
                <w:rFonts w:ascii="宋体" w:hAnsi="宋体"/>
                <w:szCs w:val="21"/>
              </w:rPr>
            </w:pPr>
            <w:r>
              <w:rPr>
                <w:rFonts w:hint="eastAsia" w:ascii="宋体" w:hAnsi="宋体"/>
                <w:szCs w:val="21"/>
              </w:rPr>
              <w:t>48（153）米</w:t>
            </w:r>
          </w:p>
        </w:tc>
      </w:tr>
      <w:tr w14:paraId="1B79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92" w:type="dxa"/>
            <w:gridSpan w:val="3"/>
            <w:tcBorders>
              <w:right w:val="single" w:color="auto" w:sz="4" w:space="0"/>
            </w:tcBorders>
            <w:noWrap/>
            <w:vAlign w:val="center"/>
          </w:tcPr>
          <w:p w14:paraId="11EF8082">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136" w:type="dxa"/>
            <w:gridSpan w:val="8"/>
            <w:tcBorders>
              <w:left w:val="single" w:color="auto" w:sz="4" w:space="0"/>
              <w:right w:val="single" w:color="auto" w:sz="4" w:space="0"/>
            </w:tcBorders>
            <w:noWrap/>
            <w:vAlign w:val="center"/>
          </w:tcPr>
          <w:p w14:paraId="2F40EC9D">
            <w:pPr>
              <w:adjustRightInd w:val="0"/>
              <w:snapToGrid w:val="0"/>
              <w:spacing w:line="240" w:lineRule="auto"/>
              <w:ind w:firstLine="0" w:firstLineChars="0"/>
              <w:rPr>
                <w:rFonts w:ascii="宋体" w:hAnsi="宋体"/>
                <w:szCs w:val="21"/>
              </w:rPr>
            </w:pPr>
            <w:r>
              <w:rPr>
                <w:rFonts w:hint="eastAsia" w:ascii="宋体" w:hAnsi="宋体"/>
                <w:szCs w:val="21"/>
              </w:rPr>
              <w:t>386.22万m³</w:t>
            </w:r>
          </w:p>
        </w:tc>
        <w:tc>
          <w:tcPr>
            <w:tcW w:w="2668" w:type="dxa"/>
            <w:gridSpan w:val="3"/>
            <w:tcBorders>
              <w:left w:val="single" w:color="auto" w:sz="4" w:space="0"/>
              <w:right w:val="single" w:color="auto" w:sz="4" w:space="0"/>
            </w:tcBorders>
            <w:noWrap/>
            <w:vAlign w:val="center"/>
          </w:tcPr>
          <w:p w14:paraId="1A61D4FC">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04" w:type="dxa"/>
            <w:gridSpan w:val="2"/>
            <w:tcBorders>
              <w:left w:val="single" w:color="auto" w:sz="4" w:space="0"/>
            </w:tcBorders>
            <w:noWrap/>
            <w:vAlign w:val="center"/>
          </w:tcPr>
          <w:p w14:paraId="65A18B24">
            <w:pPr>
              <w:adjustRightInd w:val="0"/>
              <w:snapToGrid w:val="0"/>
              <w:spacing w:line="240" w:lineRule="auto"/>
              <w:ind w:firstLine="0" w:firstLineChars="0"/>
              <w:rPr>
                <w:rFonts w:ascii="宋体" w:hAnsi="宋体"/>
                <w:szCs w:val="21"/>
              </w:rPr>
            </w:pPr>
            <w:r>
              <w:rPr>
                <w:rFonts w:hint="eastAsia" w:ascii="宋体" w:hAnsi="宋体"/>
                <w:szCs w:val="21"/>
              </w:rPr>
              <w:t>1001.5米</w:t>
            </w:r>
          </w:p>
        </w:tc>
      </w:tr>
      <w:tr w14:paraId="28D3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89" w:type="dxa"/>
            <w:gridSpan w:val="5"/>
            <w:noWrap/>
            <w:vAlign w:val="center"/>
          </w:tcPr>
          <w:p w14:paraId="2192D5C0">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2839" w:type="dxa"/>
            <w:gridSpan w:val="6"/>
            <w:tcBorders>
              <w:right w:val="single" w:color="auto" w:sz="4" w:space="0"/>
            </w:tcBorders>
            <w:noWrap/>
            <w:vAlign w:val="center"/>
          </w:tcPr>
          <w:p w14:paraId="3E230DB7">
            <w:pPr>
              <w:adjustRightInd w:val="0"/>
              <w:snapToGrid w:val="0"/>
              <w:spacing w:line="240" w:lineRule="auto"/>
              <w:ind w:firstLine="0" w:firstLineChars="0"/>
              <w:rPr>
                <w:rFonts w:ascii="宋体" w:hAnsi="宋体"/>
                <w:szCs w:val="21"/>
              </w:rPr>
            </w:pPr>
            <w:r>
              <w:rPr>
                <w:rFonts w:hint="eastAsia" w:ascii="宋体" w:hAnsi="宋体"/>
                <w:szCs w:val="21"/>
              </w:rPr>
              <w:t>1004.22米</w:t>
            </w:r>
          </w:p>
        </w:tc>
        <w:tc>
          <w:tcPr>
            <w:tcW w:w="2668" w:type="dxa"/>
            <w:gridSpan w:val="3"/>
            <w:tcBorders>
              <w:left w:val="single" w:color="auto" w:sz="4" w:space="0"/>
            </w:tcBorders>
            <w:noWrap/>
            <w:vAlign w:val="center"/>
          </w:tcPr>
          <w:p w14:paraId="437A719F">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04" w:type="dxa"/>
            <w:gridSpan w:val="2"/>
            <w:noWrap/>
            <w:vAlign w:val="center"/>
          </w:tcPr>
          <w:p w14:paraId="0627F7BB">
            <w:pPr>
              <w:adjustRightInd w:val="0"/>
              <w:snapToGrid w:val="0"/>
              <w:spacing w:line="240" w:lineRule="auto"/>
              <w:ind w:firstLine="0" w:firstLineChars="0"/>
              <w:rPr>
                <w:rFonts w:ascii="宋体" w:hAnsi="宋体"/>
                <w:szCs w:val="21"/>
              </w:rPr>
            </w:pPr>
            <w:r>
              <w:rPr>
                <w:rFonts w:hint="eastAsia" w:ascii="宋体" w:hAnsi="宋体"/>
                <w:szCs w:val="21"/>
              </w:rPr>
              <w:t>10.72米</w:t>
            </w:r>
          </w:p>
        </w:tc>
      </w:tr>
      <w:tr w14:paraId="5016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1571" w:type="dxa"/>
            <w:gridSpan w:val="2"/>
            <w:tcBorders>
              <w:right w:val="single" w:color="auto" w:sz="4" w:space="0"/>
            </w:tcBorders>
            <w:noWrap/>
            <w:vAlign w:val="center"/>
          </w:tcPr>
          <w:p w14:paraId="59E1B814">
            <w:pPr>
              <w:adjustRightInd w:val="0"/>
              <w:snapToGrid w:val="0"/>
              <w:spacing w:line="240" w:lineRule="auto"/>
              <w:ind w:firstLine="0" w:firstLineChars="0"/>
              <w:rPr>
                <w:rFonts w:ascii="宋体" w:hAnsi="宋体"/>
                <w:szCs w:val="21"/>
              </w:rPr>
            </w:pPr>
            <w:r>
              <w:rPr>
                <w:rFonts w:hint="eastAsia" w:ascii="宋体" w:hAnsi="宋体"/>
                <w:szCs w:val="21"/>
              </w:rPr>
              <w:t>泄  洪</w:t>
            </w:r>
          </w:p>
          <w:p w14:paraId="4FD0525F">
            <w:pPr>
              <w:adjustRightInd w:val="0"/>
              <w:snapToGrid w:val="0"/>
              <w:spacing w:line="240" w:lineRule="auto"/>
              <w:ind w:firstLine="0" w:firstLineChars="0"/>
              <w:rPr>
                <w:rFonts w:ascii="宋体" w:hAnsi="宋体"/>
                <w:szCs w:val="21"/>
              </w:rPr>
            </w:pPr>
            <w:r>
              <w:rPr>
                <w:rFonts w:hint="eastAsia" w:ascii="宋体" w:hAnsi="宋体"/>
                <w:szCs w:val="21"/>
              </w:rPr>
              <w:t>建筑物</w:t>
            </w:r>
          </w:p>
        </w:tc>
        <w:tc>
          <w:tcPr>
            <w:tcW w:w="7829" w:type="dxa"/>
            <w:gridSpan w:val="14"/>
            <w:tcBorders>
              <w:left w:val="single" w:color="auto" w:sz="4" w:space="0"/>
            </w:tcBorders>
            <w:noWrap/>
            <w:vAlign w:val="center"/>
          </w:tcPr>
          <w:p w14:paraId="0CD3256D">
            <w:pPr>
              <w:adjustRightInd w:val="0"/>
              <w:snapToGrid w:val="0"/>
              <w:spacing w:line="240" w:lineRule="auto"/>
              <w:ind w:firstLine="0" w:firstLineChars="0"/>
              <w:rPr>
                <w:rFonts w:ascii="宋体" w:hAnsi="宋体"/>
                <w:szCs w:val="21"/>
              </w:rPr>
            </w:pPr>
            <w:r>
              <w:rPr>
                <w:rFonts w:hint="eastAsia" w:ascii="宋体" w:hAnsi="宋体"/>
                <w:szCs w:val="21"/>
              </w:rPr>
              <w:t>开敞式溢流堰；设计泄洪流量39.08m³/s，校核泄洪流量83.6m³/s</w:t>
            </w:r>
          </w:p>
        </w:tc>
      </w:tr>
      <w:tr w14:paraId="0120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07" w:type="dxa"/>
            <w:gridSpan w:val="8"/>
            <w:tcBorders>
              <w:right w:val="single" w:color="auto" w:sz="4" w:space="0"/>
            </w:tcBorders>
            <w:noWrap/>
            <w:vAlign w:val="center"/>
          </w:tcPr>
          <w:p w14:paraId="6CEF5338">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32" w:type="dxa"/>
            <w:gridSpan w:val="4"/>
            <w:tcBorders>
              <w:right w:val="single" w:color="auto" w:sz="4" w:space="0"/>
            </w:tcBorders>
            <w:noWrap/>
            <w:vAlign w:val="center"/>
          </w:tcPr>
          <w:p w14:paraId="06F22A3C">
            <w:pPr>
              <w:adjustRightInd w:val="0"/>
              <w:snapToGrid w:val="0"/>
              <w:spacing w:line="240" w:lineRule="auto"/>
              <w:ind w:firstLine="0" w:firstLineChars="0"/>
              <w:rPr>
                <w:rFonts w:ascii="宋体" w:hAnsi="宋体"/>
                <w:szCs w:val="21"/>
              </w:rPr>
            </w:pPr>
            <w:r>
              <w:rPr>
                <w:rFonts w:hint="eastAsia" w:ascii="宋体" w:hAnsi="宋体"/>
                <w:szCs w:val="21"/>
              </w:rPr>
              <w:t>人工</w:t>
            </w:r>
          </w:p>
        </w:tc>
        <w:tc>
          <w:tcPr>
            <w:tcW w:w="2121" w:type="dxa"/>
            <w:gridSpan w:val="3"/>
            <w:tcBorders>
              <w:right w:val="single" w:color="auto" w:sz="4" w:space="0"/>
            </w:tcBorders>
            <w:noWrap/>
            <w:vAlign w:val="center"/>
          </w:tcPr>
          <w:p w14:paraId="7DCFF0EE">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40" w:type="dxa"/>
            <w:tcBorders>
              <w:left w:val="single" w:color="auto" w:sz="4" w:space="0"/>
            </w:tcBorders>
            <w:noWrap/>
            <w:vAlign w:val="center"/>
          </w:tcPr>
          <w:p w14:paraId="7CE33FCF">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4197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33" w:type="dxa"/>
            <w:gridSpan w:val="4"/>
            <w:tcBorders>
              <w:top w:val="single" w:color="auto" w:sz="4" w:space="0"/>
              <w:bottom w:val="single" w:color="auto" w:sz="4" w:space="0"/>
              <w:right w:val="single" w:color="auto" w:sz="4" w:space="0"/>
            </w:tcBorders>
            <w:noWrap/>
            <w:vAlign w:val="center"/>
          </w:tcPr>
          <w:p w14:paraId="0F0BE461">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3706" w:type="dxa"/>
            <w:gridSpan w:val="8"/>
            <w:noWrap/>
            <w:vAlign w:val="center"/>
          </w:tcPr>
          <w:p w14:paraId="23C56D51">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61" w:type="dxa"/>
            <w:gridSpan w:val="4"/>
            <w:vMerge w:val="restart"/>
            <w:noWrap/>
            <w:vAlign w:val="center"/>
          </w:tcPr>
          <w:p w14:paraId="653D03E7">
            <w:pPr>
              <w:adjustRightInd w:val="0"/>
              <w:snapToGrid w:val="0"/>
              <w:spacing w:line="240" w:lineRule="auto"/>
              <w:ind w:firstLine="0" w:firstLineChars="0"/>
              <w:rPr>
                <w:rFonts w:ascii="宋体" w:hAnsi="宋体"/>
                <w:szCs w:val="21"/>
              </w:rPr>
            </w:pPr>
            <w:r>
              <w:rPr>
                <w:rFonts w:hint="eastAsia" w:ascii="宋体" w:hAnsi="宋体"/>
                <w:szCs w:val="21"/>
              </w:rPr>
              <w:t>汛限水位:1001.5米</w:t>
            </w:r>
          </w:p>
        </w:tc>
      </w:tr>
      <w:tr w14:paraId="037E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33" w:type="dxa"/>
            <w:gridSpan w:val="4"/>
            <w:tcBorders>
              <w:top w:val="single" w:color="auto" w:sz="4" w:space="0"/>
              <w:bottom w:val="single" w:color="auto" w:sz="4" w:space="0"/>
              <w:right w:val="single" w:color="auto" w:sz="4" w:space="0"/>
            </w:tcBorders>
            <w:noWrap/>
            <w:vAlign w:val="center"/>
          </w:tcPr>
          <w:p w14:paraId="6C6BAD19">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3706" w:type="dxa"/>
            <w:gridSpan w:val="8"/>
            <w:noWrap/>
            <w:vAlign w:val="center"/>
          </w:tcPr>
          <w:p w14:paraId="0A4CD97D">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61" w:type="dxa"/>
            <w:gridSpan w:val="4"/>
            <w:vMerge w:val="continue"/>
            <w:noWrap/>
            <w:vAlign w:val="center"/>
          </w:tcPr>
          <w:p w14:paraId="26E58C7A">
            <w:pPr>
              <w:adjustRightInd w:val="0"/>
              <w:snapToGrid w:val="0"/>
              <w:spacing w:line="240" w:lineRule="auto"/>
              <w:ind w:firstLine="0" w:firstLineChars="0"/>
              <w:rPr>
                <w:rFonts w:ascii="宋体" w:hAnsi="宋体"/>
                <w:szCs w:val="21"/>
              </w:rPr>
            </w:pPr>
          </w:p>
        </w:tc>
      </w:tr>
      <w:tr w14:paraId="7EEF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exact"/>
          <w:jc w:val="center"/>
        </w:trPr>
        <w:tc>
          <w:tcPr>
            <w:tcW w:w="836" w:type="dxa"/>
            <w:tcBorders>
              <w:top w:val="single" w:color="auto" w:sz="4" w:space="0"/>
              <w:right w:val="single" w:color="auto" w:sz="4" w:space="0"/>
            </w:tcBorders>
            <w:noWrap/>
            <w:vAlign w:val="center"/>
          </w:tcPr>
          <w:p w14:paraId="4FD8637E">
            <w:pPr>
              <w:adjustRightInd w:val="0"/>
              <w:snapToGrid w:val="0"/>
              <w:spacing w:line="240" w:lineRule="auto"/>
              <w:ind w:firstLine="0" w:firstLineChars="0"/>
              <w:rPr>
                <w:rFonts w:ascii="宋体" w:hAnsi="宋体"/>
                <w:szCs w:val="21"/>
              </w:rPr>
            </w:pPr>
            <w:r>
              <w:rPr>
                <w:rFonts w:hint="eastAsia" w:ascii="宋体" w:hAnsi="宋体"/>
                <w:szCs w:val="21"/>
              </w:rPr>
              <w:t>汛 期调 度方 式</w:t>
            </w:r>
          </w:p>
        </w:tc>
        <w:tc>
          <w:tcPr>
            <w:tcW w:w="8564" w:type="dxa"/>
            <w:gridSpan w:val="15"/>
            <w:tcBorders>
              <w:left w:val="single" w:color="auto" w:sz="4" w:space="0"/>
            </w:tcBorders>
            <w:noWrap/>
            <w:vAlign w:val="center"/>
          </w:tcPr>
          <w:p w14:paraId="5A5216BA">
            <w:pPr>
              <w:adjustRightInd w:val="0"/>
              <w:snapToGrid w:val="0"/>
              <w:spacing w:line="240" w:lineRule="auto"/>
              <w:ind w:firstLine="0" w:firstLineChars="0"/>
              <w:rPr>
                <w:rFonts w:ascii="宋体" w:hAnsi="宋体"/>
                <w:szCs w:val="21"/>
              </w:rPr>
            </w:pPr>
            <w:r>
              <w:rPr>
                <w:rFonts w:hint="eastAsia" w:ascii="宋体" w:hAnsi="宋体"/>
                <w:szCs w:val="21"/>
              </w:rPr>
              <w:t>1、水位水库水位＜1001.00m时，水库蓄水；2、水位在1001m</w:t>
            </w:r>
            <w:r>
              <w:rPr>
                <w:rFonts w:hint="eastAsia" w:ascii="宋体" w:hAnsi="宋体"/>
                <w:szCs w:val="21"/>
                <w:lang w:eastAsia="zh-CN"/>
              </w:rPr>
              <w:t>～</w:t>
            </w:r>
            <w:r>
              <w:rPr>
                <w:rFonts w:hint="eastAsia" w:ascii="宋体" w:hAnsi="宋体"/>
                <w:szCs w:val="21"/>
              </w:rPr>
              <w:t>1001.5m之间；入库流量＜10m³/s时，来多少泄多少；入库流量≥10m³/s时，控泄10m³/s；3、控制闸门的开启，保持库水位为汛限水位，如来水量大于闸门全开时的泄量，从大坝溢流面溢流</w:t>
            </w:r>
          </w:p>
        </w:tc>
      </w:tr>
      <w:tr w14:paraId="5DBA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927" w:type="dxa"/>
            <w:gridSpan w:val="6"/>
            <w:tcBorders>
              <w:right w:val="single" w:color="auto" w:sz="4" w:space="0"/>
            </w:tcBorders>
            <w:noWrap/>
            <w:vAlign w:val="center"/>
          </w:tcPr>
          <w:p w14:paraId="6FFFF388">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7473" w:type="dxa"/>
            <w:gridSpan w:val="10"/>
            <w:noWrap/>
            <w:vAlign w:val="center"/>
          </w:tcPr>
          <w:p w14:paraId="07183B60">
            <w:pPr>
              <w:adjustRightInd w:val="0"/>
              <w:snapToGrid w:val="0"/>
              <w:spacing w:line="240" w:lineRule="auto"/>
              <w:ind w:firstLine="0" w:firstLineChars="0"/>
              <w:rPr>
                <w:rFonts w:ascii="宋体" w:hAnsi="宋体"/>
                <w:szCs w:val="21"/>
              </w:rPr>
            </w:pPr>
            <w:r>
              <w:rPr>
                <w:rFonts w:hint="eastAsia" w:ascii="宋体" w:hAnsi="宋体"/>
                <w:szCs w:val="21"/>
              </w:rPr>
              <w:t>龙口电站、龙尾电站、金沐沦电站、葫芦头、扎木苏等7个村庄，9处水利设施。</w:t>
            </w:r>
          </w:p>
        </w:tc>
      </w:tr>
    </w:tbl>
    <w:p w14:paraId="0E9ACDF7">
      <w:pPr>
        <w:spacing w:line="240" w:lineRule="auto"/>
        <w:ind w:firstLine="0" w:firstLineChars="0"/>
        <w:jc w:val="center"/>
        <w:rPr>
          <w:rFonts w:ascii="宋体" w:hAnsi="宋体"/>
          <w:b/>
          <w:sz w:val="32"/>
          <w:szCs w:val="32"/>
        </w:rPr>
      </w:pPr>
    </w:p>
    <w:p w14:paraId="71ECC6CD">
      <w:pPr>
        <w:spacing w:line="240" w:lineRule="auto"/>
        <w:ind w:firstLine="0" w:firstLineChars="0"/>
        <w:jc w:val="center"/>
        <w:rPr>
          <w:rFonts w:ascii="宋体" w:hAnsi="宋体"/>
          <w:b/>
          <w:sz w:val="32"/>
          <w:szCs w:val="32"/>
        </w:rPr>
      </w:pPr>
      <w:r>
        <w:rPr>
          <w:rFonts w:hint="eastAsia" w:ascii="宋体" w:hAnsi="宋体"/>
          <w:b/>
          <w:sz w:val="32"/>
          <w:szCs w:val="32"/>
        </w:rPr>
        <w:t>台子店水库安全度汛明白卡</w:t>
      </w:r>
    </w:p>
    <w:tbl>
      <w:tblPr>
        <w:tblStyle w:val="21"/>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2029"/>
        <w:gridCol w:w="904"/>
        <w:gridCol w:w="73"/>
        <w:gridCol w:w="444"/>
        <w:gridCol w:w="611"/>
        <w:gridCol w:w="844"/>
        <w:gridCol w:w="1213"/>
        <w:gridCol w:w="64"/>
        <w:gridCol w:w="1940"/>
      </w:tblGrid>
      <w:tr w14:paraId="264B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84" w:type="dxa"/>
            <w:gridSpan w:val="4"/>
            <w:noWrap/>
            <w:vAlign w:val="center"/>
          </w:tcPr>
          <w:p w14:paraId="79931CF8">
            <w:pPr>
              <w:adjustRightInd w:val="0"/>
              <w:snapToGrid w:val="0"/>
              <w:spacing w:line="240" w:lineRule="auto"/>
              <w:ind w:firstLine="0" w:firstLineChars="0"/>
              <w:rPr>
                <w:rFonts w:ascii="宋体" w:hAnsi="宋体"/>
                <w:szCs w:val="21"/>
              </w:rPr>
            </w:pPr>
            <w:r>
              <w:rPr>
                <w:rFonts w:hint="eastAsia" w:ascii="宋体" w:hAnsi="宋体"/>
                <w:szCs w:val="21"/>
              </w:rPr>
              <w:t>所在旗县区、乡镇苏木</w:t>
            </w:r>
          </w:p>
        </w:tc>
        <w:tc>
          <w:tcPr>
            <w:tcW w:w="5116" w:type="dxa"/>
            <w:gridSpan w:val="6"/>
            <w:noWrap/>
            <w:vAlign w:val="center"/>
          </w:tcPr>
          <w:p w14:paraId="5BA7C9D0">
            <w:pPr>
              <w:adjustRightInd w:val="0"/>
              <w:snapToGrid w:val="0"/>
              <w:spacing w:line="240" w:lineRule="auto"/>
              <w:ind w:firstLine="0" w:firstLineChars="0"/>
              <w:rPr>
                <w:rFonts w:ascii="宋体" w:hAnsi="宋体"/>
                <w:szCs w:val="21"/>
              </w:rPr>
            </w:pPr>
            <w:r>
              <w:rPr>
                <w:rFonts w:hint="eastAsia" w:ascii="宋体" w:hAnsi="宋体"/>
                <w:szCs w:val="21"/>
              </w:rPr>
              <w:t>克旗芝瑞镇广兴村</w:t>
            </w:r>
          </w:p>
        </w:tc>
      </w:tr>
      <w:tr w14:paraId="18D8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tcBorders>
              <w:right w:val="single" w:color="auto" w:sz="4" w:space="0"/>
            </w:tcBorders>
            <w:noWrap/>
            <w:vAlign w:val="center"/>
          </w:tcPr>
          <w:p w14:paraId="441FEE7B">
            <w:pPr>
              <w:adjustRightInd w:val="0"/>
              <w:snapToGrid w:val="0"/>
              <w:spacing w:line="240" w:lineRule="auto"/>
              <w:ind w:firstLine="0" w:firstLineChars="0"/>
              <w:rPr>
                <w:rFonts w:ascii="宋体" w:hAnsi="宋体"/>
                <w:szCs w:val="21"/>
              </w:rPr>
            </w:pPr>
            <w:r>
              <w:rPr>
                <w:rFonts w:hint="eastAsia" w:ascii="宋体" w:hAnsi="宋体"/>
                <w:szCs w:val="21"/>
              </w:rPr>
              <w:t>水库功能</w:t>
            </w:r>
          </w:p>
        </w:tc>
        <w:tc>
          <w:tcPr>
            <w:tcW w:w="8122" w:type="dxa"/>
            <w:gridSpan w:val="9"/>
            <w:tcBorders>
              <w:left w:val="single" w:color="auto" w:sz="4" w:space="0"/>
            </w:tcBorders>
            <w:noWrap/>
            <w:vAlign w:val="center"/>
          </w:tcPr>
          <w:p w14:paraId="1C24EBAE">
            <w:pPr>
              <w:adjustRightInd w:val="0"/>
              <w:snapToGrid w:val="0"/>
              <w:spacing w:line="240" w:lineRule="auto"/>
              <w:ind w:firstLine="0" w:firstLineChars="0"/>
              <w:jc w:val="center"/>
              <w:rPr>
                <w:rFonts w:ascii="宋体" w:hAnsi="宋体"/>
                <w:szCs w:val="21"/>
              </w:rPr>
            </w:pPr>
            <w:r>
              <w:rPr>
                <w:rFonts w:hint="eastAsia" w:ascii="宋体" w:hAnsi="宋体"/>
                <w:szCs w:val="21"/>
              </w:rPr>
              <w:t>农业灌溉</w:t>
            </w:r>
          </w:p>
        </w:tc>
      </w:tr>
      <w:tr w14:paraId="2BFB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tcBorders>
              <w:right w:val="single" w:color="auto" w:sz="4" w:space="0"/>
            </w:tcBorders>
            <w:noWrap/>
            <w:vAlign w:val="center"/>
          </w:tcPr>
          <w:p w14:paraId="1016BFA4">
            <w:pPr>
              <w:adjustRightInd w:val="0"/>
              <w:snapToGrid w:val="0"/>
              <w:spacing w:line="240" w:lineRule="auto"/>
              <w:ind w:firstLine="0" w:firstLineChars="0"/>
              <w:rPr>
                <w:rFonts w:ascii="宋体" w:hAnsi="宋体"/>
                <w:szCs w:val="21"/>
              </w:rPr>
            </w:pPr>
            <w:r>
              <w:rPr>
                <w:rFonts w:hint="eastAsia" w:ascii="宋体" w:hAnsi="宋体"/>
                <w:szCs w:val="21"/>
              </w:rPr>
              <w:t>所在河流</w:t>
            </w:r>
          </w:p>
        </w:tc>
        <w:tc>
          <w:tcPr>
            <w:tcW w:w="2933" w:type="dxa"/>
            <w:gridSpan w:val="2"/>
            <w:tcBorders>
              <w:left w:val="single" w:color="auto" w:sz="4" w:space="0"/>
            </w:tcBorders>
            <w:noWrap/>
            <w:vAlign w:val="center"/>
          </w:tcPr>
          <w:p w14:paraId="306BBB91">
            <w:pPr>
              <w:adjustRightInd w:val="0"/>
              <w:snapToGrid w:val="0"/>
              <w:spacing w:line="240" w:lineRule="auto"/>
              <w:ind w:firstLine="0" w:firstLineChars="0"/>
              <w:jc w:val="center"/>
              <w:rPr>
                <w:rFonts w:ascii="宋体" w:hAnsi="宋体"/>
                <w:szCs w:val="21"/>
              </w:rPr>
            </w:pPr>
            <w:r>
              <w:rPr>
                <w:rFonts w:hint="eastAsia" w:ascii="宋体" w:hAnsi="宋体"/>
                <w:szCs w:val="21"/>
              </w:rPr>
              <w:t>塔其沟河</w:t>
            </w:r>
          </w:p>
        </w:tc>
        <w:tc>
          <w:tcPr>
            <w:tcW w:w="1972" w:type="dxa"/>
            <w:gridSpan w:val="4"/>
            <w:tcBorders>
              <w:top w:val="single" w:color="auto" w:sz="4" w:space="0"/>
              <w:bottom w:val="single" w:color="auto" w:sz="4" w:space="0"/>
              <w:right w:val="single" w:color="auto" w:sz="4" w:space="0"/>
            </w:tcBorders>
            <w:noWrap/>
            <w:vAlign w:val="center"/>
          </w:tcPr>
          <w:p w14:paraId="557778A0">
            <w:pPr>
              <w:adjustRightInd w:val="0"/>
              <w:snapToGrid w:val="0"/>
              <w:spacing w:line="240" w:lineRule="auto"/>
              <w:ind w:firstLine="0" w:firstLineChars="0"/>
              <w:rPr>
                <w:rFonts w:ascii="宋体" w:hAnsi="宋体"/>
                <w:szCs w:val="21"/>
              </w:rPr>
            </w:pPr>
            <w:r>
              <w:rPr>
                <w:rFonts w:hint="eastAsia" w:ascii="宋体" w:hAnsi="宋体"/>
                <w:szCs w:val="21"/>
              </w:rPr>
              <w:t>主管部门</w:t>
            </w:r>
          </w:p>
        </w:tc>
        <w:tc>
          <w:tcPr>
            <w:tcW w:w="3217" w:type="dxa"/>
            <w:gridSpan w:val="3"/>
            <w:tcBorders>
              <w:top w:val="single" w:color="auto" w:sz="4" w:space="0"/>
              <w:bottom w:val="single" w:color="auto" w:sz="4" w:space="0"/>
            </w:tcBorders>
            <w:noWrap/>
            <w:vAlign w:val="center"/>
          </w:tcPr>
          <w:p w14:paraId="38D6B297">
            <w:pPr>
              <w:adjustRightInd w:val="0"/>
              <w:snapToGrid w:val="0"/>
              <w:spacing w:line="240" w:lineRule="auto"/>
              <w:ind w:firstLine="0" w:firstLineChars="0"/>
              <w:rPr>
                <w:rFonts w:ascii="宋体" w:hAnsi="宋体"/>
                <w:szCs w:val="21"/>
              </w:rPr>
            </w:pPr>
            <w:r>
              <w:rPr>
                <w:rFonts w:hint="eastAsia" w:ascii="宋体" w:hAnsi="宋体"/>
                <w:szCs w:val="21"/>
              </w:rPr>
              <w:t>克旗水利局</w:t>
            </w:r>
          </w:p>
        </w:tc>
      </w:tr>
      <w:tr w14:paraId="5748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noWrap/>
            <w:vAlign w:val="center"/>
          </w:tcPr>
          <w:p w14:paraId="126EACF6">
            <w:pPr>
              <w:adjustRightInd w:val="0"/>
              <w:snapToGrid w:val="0"/>
              <w:spacing w:line="240" w:lineRule="auto"/>
              <w:ind w:firstLine="0" w:firstLineChars="0"/>
              <w:rPr>
                <w:rFonts w:ascii="宋体" w:hAnsi="宋体"/>
                <w:szCs w:val="21"/>
              </w:rPr>
            </w:pPr>
            <w:r>
              <w:rPr>
                <w:rFonts w:hint="eastAsia" w:ascii="宋体" w:hAnsi="宋体"/>
                <w:szCs w:val="21"/>
              </w:rPr>
              <w:t>大坝类型</w:t>
            </w:r>
          </w:p>
        </w:tc>
        <w:tc>
          <w:tcPr>
            <w:tcW w:w="4905" w:type="dxa"/>
            <w:gridSpan w:val="6"/>
            <w:tcBorders>
              <w:right w:val="single" w:color="auto" w:sz="4" w:space="0"/>
            </w:tcBorders>
            <w:noWrap/>
            <w:vAlign w:val="center"/>
          </w:tcPr>
          <w:p w14:paraId="151EBC83">
            <w:pPr>
              <w:adjustRightInd w:val="0"/>
              <w:snapToGrid w:val="0"/>
              <w:spacing w:line="240" w:lineRule="auto"/>
              <w:ind w:firstLine="0" w:firstLineChars="0"/>
              <w:jc w:val="center"/>
              <w:rPr>
                <w:rFonts w:ascii="宋体" w:hAnsi="宋体"/>
                <w:szCs w:val="21"/>
              </w:rPr>
            </w:pPr>
            <w:r>
              <w:rPr>
                <w:rFonts w:hint="eastAsia" w:ascii="宋体" w:hAnsi="宋体"/>
                <w:szCs w:val="21"/>
              </w:rPr>
              <w:t>均质土坝</w:t>
            </w:r>
          </w:p>
        </w:tc>
        <w:tc>
          <w:tcPr>
            <w:tcW w:w="1213" w:type="dxa"/>
            <w:tcBorders>
              <w:left w:val="single" w:color="auto" w:sz="4" w:space="0"/>
              <w:right w:val="single" w:color="auto" w:sz="4" w:space="0"/>
            </w:tcBorders>
            <w:noWrap/>
            <w:vAlign w:val="center"/>
          </w:tcPr>
          <w:p w14:paraId="0B33565C">
            <w:pPr>
              <w:adjustRightInd w:val="0"/>
              <w:snapToGrid w:val="0"/>
              <w:spacing w:line="240" w:lineRule="auto"/>
              <w:ind w:firstLine="0" w:firstLineChars="0"/>
              <w:rPr>
                <w:rFonts w:ascii="宋体" w:hAnsi="宋体"/>
                <w:szCs w:val="21"/>
              </w:rPr>
            </w:pPr>
            <w:r>
              <w:rPr>
                <w:rFonts w:hint="eastAsia" w:ascii="宋体" w:hAnsi="宋体"/>
                <w:szCs w:val="21"/>
              </w:rPr>
              <w:t>坝长</w:t>
            </w:r>
          </w:p>
        </w:tc>
        <w:tc>
          <w:tcPr>
            <w:tcW w:w="2004" w:type="dxa"/>
            <w:gridSpan w:val="2"/>
            <w:tcBorders>
              <w:left w:val="single" w:color="auto" w:sz="4" w:space="0"/>
            </w:tcBorders>
            <w:noWrap/>
            <w:vAlign w:val="center"/>
          </w:tcPr>
          <w:p w14:paraId="29D9C71E">
            <w:pPr>
              <w:adjustRightInd w:val="0"/>
              <w:snapToGrid w:val="0"/>
              <w:spacing w:line="240" w:lineRule="auto"/>
              <w:ind w:firstLine="0" w:firstLineChars="0"/>
              <w:rPr>
                <w:rFonts w:ascii="宋体" w:hAnsi="宋体"/>
                <w:szCs w:val="21"/>
              </w:rPr>
            </w:pPr>
            <w:r>
              <w:rPr>
                <w:rFonts w:hint="eastAsia" w:ascii="宋体" w:hAnsi="宋体"/>
                <w:szCs w:val="21"/>
              </w:rPr>
              <w:t>320米</w:t>
            </w:r>
          </w:p>
        </w:tc>
      </w:tr>
      <w:tr w14:paraId="7998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tcBorders>
              <w:right w:val="single" w:color="auto" w:sz="4" w:space="0"/>
            </w:tcBorders>
            <w:noWrap/>
            <w:vAlign w:val="center"/>
          </w:tcPr>
          <w:p w14:paraId="171D1F62">
            <w:pPr>
              <w:adjustRightInd w:val="0"/>
              <w:snapToGrid w:val="0"/>
              <w:spacing w:line="240" w:lineRule="auto"/>
              <w:ind w:firstLine="0" w:firstLineChars="0"/>
              <w:rPr>
                <w:rFonts w:ascii="宋体" w:hAnsi="宋体"/>
                <w:szCs w:val="21"/>
              </w:rPr>
            </w:pPr>
            <w:r>
              <w:rPr>
                <w:rFonts w:hint="eastAsia" w:ascii="宋体" w:hAnsi="宋体"/>
                <w:szCs w:val="21"/>
              </w:rPr>
              <w:t>总库容</w:t>
            </w:r>
          </w:p>
        </w:tc>
        <w:tc>
          <w:tcPr>
            <w:tcW w:w="3450" w:type="dxa"/>
            <w:gridSpan w:val="4"/>
            <w:tcBorders>
              <w:left w:val="single" w:color="auto" w:sz="4" w:space="0"/>
              <w:right w:val="single" w:color="auto" w:sz="4" w:space="0"/>
            </w:tcBorders>
            <w:noWrap/>
            <w:vAlign w:val="center"/>
          </w:tcPr>
          <w:p w14:paraId="4F3354BC">
            <w:pPr>
              <w:adjustRightInd w:val="0"/>
              <w:snapToGrid w:val="0"/>
              <w:spacing w:line="240" w:lineRule="auto"/>
              <w:ind w:firstLine="0" w:firstLineChars="0"/>
              <w:jc w:val="center"/>
              <w:rPr>
                <w:rFonts w:ascii="宋体" w:hAnsi="宋体"/>
                <w:szCs w:val="21"/>
              </w:rPr>
            </w:pPr>
            <w:r>
              <w:rPr>
                <w:rFonts w:hint="eastAsia" w:ascii="宋体" w:hAnsi="宋体"/>
                <w:szCs w:val="21"/>
              </w:rPr>
              <w:t>410万m³</w:t>
            </w:r>
          </w:p>
        </w:tc>
        <w:tc>
          <w:tcPr>
            <w:tcW w:w="2668" w:type="dxa"/>
            <w:gridSpan w:val="3"/>
            <w:tcBorders>
              <w:left w:val="single" w:color="auto" w:sz="4" w:space="0"/>
              <w:right w:val="single" w:color="auto" w:sz="4" w:space="0"/>
            </w:tcBorders>
            <w:noWrap/>
            <w:vAlign w:val="center"/>
          </w:tcPr>
          <w:p w14:paraId="06ED69C6">
            <w:pPr>
              <w:adjustRightInd w:val="0"/>
              <w:snapToGrid w:val="0"/>
              <w:spacing w:line="240" w:lineRule="auto"/>
              <w:ind w:firstLine="0" w:firstLineChars="0"/>
              <w:rPr>
                <w:rFonts w:ascii="宋体" w:hAnsi="宋体"/>
                <w:szCs w:val="21"/>
              </w:rPr>
            </w:pPr>
            <w:r>
              <w:rPr>
                <w:rFonts w:hint="eastAsia" w:ascii="宋体" w:hAnsi="宋体"/>
                <w:szCs w:val="21"/>
              </w:rPr>
              <w:t>正常蓄水位</w:t>
            </w:r>
          </w:p>
        </w:tc>
        <w:tc>
          <w:tcPr>
            <w:tcW w:w="2004" w:type="dxa"/>
            <w:gridSpan w:val="2"/>
            <w:tcBorders>
              <w:left w:val="single" w:color="auto" w:sz="4" w:space="0"/>
            </w:tcBorders>
            <w:noWrap/>
            <w:vAlign w:val="center"/>
          </w:tcPr>
          <w:p w14:paraId="4CE93F95">
            <w:pPr>
              <w:adjustRightInd w:val="0"/>
              <w:snapToGrid w:val="0"/>
              <w:spacing w:line="240" w:lineRule="auto"/>
              <w:ind w:firstLine="0" w:firstLineChars="0"/>
              <w:rPr>
                <w:rFonts w:ascii="宋体" w:hAnsi="宋体"/>
                <w:szCs w:val="21"/>
              </w:rPr>
            </w:pPr>
            <w:r>
              <w:rPr>
                <w:rFonts w:hint="eastAsia" w:ascii="宋体" w:hAnsi="宋体"/>
                <w:szCs w:val="21"/>
              </w:rPr>
              <w:t>1199.60米</w:t>
            </w:r>
          </w:p>
        </w:tc>
      </w:tr>
      <w:tr w14:paraId="7AF5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noWrap/>
            <w:vAlign w:val="center"/>
          </w:tcPr>
          <w:p w14:paraId="62D97CA5">
            <w:pPr>
              <w:adjustRightInd w:val="0"/>
              <w:snapToGrid w:val="0"/>
              <w:spacing w:line="240" w:lineRule="auto"/>
              <w:ind w:firstLine="0" w:firstLineChars="0"/>
              <w:rPr>
                <w:rFonts w:ascii="宋体" w:hAnsi="宋体"/>
                <w:szCs w:val="21"/>
              </w:rPr>
            </w:pPr>
            <w:r>
              <w:rPr>
                <w:rFonts w:hint="eastAsia" w:ascii="宋体" w:hAnsi="宋体"/>
                <w:szCs w:val="21"/>
              </w:rPr>
              <w:t>坝顶高程</w:t>
            </w:r>
          </w:p>
        </w:tc>
        <w:tc>
          <w:tcPr>
            <w:tcW w:w="3450" w:type="dxa"/>
            <w:gridSpan w:val="4"/>
            <w:tcBorders>
              <w:right w:val="single" w:color="auto" w:sz="4" w:space="0"/>
            </w:tcBorders>
            <w:noWrap/>
            <w:vAlign w:val="center"/>
          </w:tcPr>
          <w:p w14:paraId="32CBFF03">
            <w:pPr>
              <w:adjustRightInd w:val="0"/>
              <w:snapToGrid w:val="0"/>
              <w:spacing w:line="240" w:lineRule="auto"/>
              <w:ind w:firstLine="0" w:firstLineChars="0"/>
              <w:rPr>
                <w:rFonts w:ascii="宋体" w:hAnsi="宋体"/>
                <w:szCs w:val="21"/>
              </w:rPr>
            </w:pPr>
            <w:r>
              <w:rPr>
                <w:rFonts w:hint="eastAsia" w:ascii="宋体" w:hAnsi="宋体"/>
                <w:szCs w:val="21"/>
              </w:rPr>
              <w:t>1203.10米</w:t>
            </w:r>
          </w:p>
        </w:tc>
        <w:tc>
          <w:tcPr>
            <w:tcW w:w="2668" w:type="dxa"/>
            <w:gridSpan w:val="3"/>
            <w:tcBorders>
              <w:left w:val="single" w:color="auto" w:sz="4" w:space="0"/>
            </w:tcBorders>
            <w:noWrap/>
            <w:vAlign w:val="center"/>
          </w:tcPr>
          <w:p w14:paraId="70F044A2">
            <w:pPr>
              <w:adjustRightInd w:val="0"/>
              <w:snapToGrid w:val="0"/>
              <w:spacing w:line="240" w:lineRule="auto"/>
              <w:ind w:firstLine="0" w:firstLineChars="0"/>
              <w:rPr>
                <w:rFonts w:ascii="宋体" w:hAnsi="宋体"/>
                <w:szCs w:val="21"/>
              </w:rPr>
            </w:pPr>
            <w:r>
              <w:rPr>
                <w:rFonts w:hint="eastAsia" w:ascii="宋体" w:hAnsi="宋体"/>
                <w:szCs w:val="21"/>
              </w:rPr>
              <w:t>最大坝高</w:t>
            </w:r>
          </w:p>
        </w:tc>
        <w:tc>
          <w:tcPr>
            <w:tcW w:w="2004" w:type="dxa"/>
            <w:gridSpan w:val="2"/>
            <w:noWrap/>
            <w:vAlign w:val="center"/>
          </w:tcPr>
          <w:p w14:paraId="0715AFE6">
            <w:pPr>
              <w:adjustRightInd w:val="0"/>
              <w:snapToGrid w:val="0"/>
              <w:spacing w:line="240" w:lineRule="auto"/>
              <w:ind w:firstLine="0" w:firstLineChars="0"/>
              <w:rPr>
                <w:rFonts w:ascii="宋体" w:hAnsi="宋体"/>
                <w:szCs w:val="21"/>
              </w:rPr>
            </w:pPr>
            <w:r>
              <w:rPr>
                <w:rFonts w:hint="eastAsia" w:ascii="宋体" w:hAnsi="宋体"/>
                <w:szCs w:val="21"/>
              </w:rPr>
              <w:t>22.15米</w:t>
            </w:r>
          </w:p>
        </w:tc>
      </w:tr>
      <w:tr w14:paraId="7F8E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278" w:type="dxa"/>
            <w:tcBorders>
              <w:right w:val="single" w:color="auto" w:sz="4" w:space="0"/>
            </w:tcBorders>
            <w:noWrap/>
            <w:vAlign w:val="center"/>
          </w:tcPr>
          <w:p w14:paraId="0A266DD4">
            <w:pPr>
              <w:adjustRightInd w:val="0"/>
              <w:snapToGrid w:val="0"/>
              <w:spacing w:line="240" w:lineRule="auto"/>
              <w:ind w:firstLine="0" w:firstLineChars="0"/>
              <w:rPr>
                <w:rFonts w:ascii="宋体" w:hAnsi="宋体"/>
                <w:szCs w:val="21"/>
              </w:rPr>
            </w:pPr>
            <w:r>
              <w:rPr>
                <w:rFonts w:hint="eastAsia" w:ascii="宋体" w:hAnsi="宋体"/>
                <w:szCs w:val="21"/>
              </w:rPr>
              <w:t>泄洪建筑物</w:t>
            </w:r>
          </w:p>
        </w:tc>
        <w:tc>
          <w:tcPr>
            <w:tcW w:w="8122" w:type="dxa"/>
            <w:gridSpan w:val="9"/>
            <w:tcBorders>
              <w:left w:val="single" w:color="auto" w:sz="4" w:space="0"/>
            </w:tcBorders>
            <w:noWrap/>
            <w:vAlign w:val="center"/>
          </w:tcPr>
          <w:p w14:paraId="58B23B0B">
            <w:pPr>
              <w:adjustRightInd w:val="0"/>
              <w:snapToGrid w:val="0"/>
              <w:spacing w:line="240" w:lineRule="auto"/>
              <w:ind w:firstLine="0" w:firstLineChars="0"/>
              <w:jc w:val="center"/>
              <w:rPr>
                <w:rFonts w:ascii="宋体" w:hAnsi="宋体"/>
                <w:szCs w:val="21"/>
              </w:rPr>
            </w:pPr>
            <w:r>
              <w:rPr>
                <w:rFonts w:hint="eastAsia" w:ascii="宋体" w:hAnsi="宋体"/>
                <w:szCs w:val="21"/>
              </w:rPr>
              <w:t>溢洪道</w:t>
            </w:r>
          </w:p>
        </w:tc>
      </w:tr>
      <w:tr w14:paraId="45A7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07" w:type="dxa"/>
            <w:gridSpan w:val="2"/>
            <w:tcBorders>
              <w:right w:val="single" w:color="auto" w:sz="4" w:space="0"/>
            </w:tcBorders>
            <w:noWrap/>
            <w:vAlign w:val="center"/>
          </w:tcPr>
          <w:p w14:paraId="71BBD34C">
            <w:pPr>
              <w:adjustRightInd w:val="0"/>
              <w:snapToGrid w:val="0"/>
              <w:spacing w:line="240" w:lineRule="auto"/>
              <w:ind w:firstLine="0" w:firstLineChars="0"/>
              <w:rPr>
                <w:rFonts w:ascii="宋体" w:hAnsi="宋体"/>
                <w:szCs w:val="21"/>
              </w:rPr>
            </w:pPr>
            <w:r>
              <w:rPr>
                <w:rFonts w:hint="eastAsia" w:ascii="宋体" w:hAnsi="宋体"/>
                <w:szCs w:val="21"/>
              </w:rPr>
              <w:t>水雨情测报系统</w:t>
            </w:r>
          </w:p>
        </w:tc>
        <w:tc>
          <w:tcPr>
            <w:tcW w:w="2032" w:type="dxa"/>
            <w:gridSpan w:val="4"/>
            <w:tcBorders>
              <w:right w:val="single" w:color="auto" w:sz="4" w:space="0"/>
            </w:tcBorders>
            <w:noWrap/>
            <w:vAlign w:val="center"/>
          </w:tcPr>
          <w:p w14:paraId="6A7D483C">
            <w:pPr>
              <w:adjustRightInd w:val="0"/>
              <w:snapToGrid w:val="0"/>
              <w:spacing w:line="240" w:lineRule="auto"/>
              <w:ind w:firstLine="0" w:firstLineChars="0"/>
              <w:rPr>
                <w:rFonts w:ascii="宋体" w:hAnsi="宋体"/>
                <w:szCs w:val="21"/>
              </w:rPr>
            </w:pPr>
            <w:r>
              <w:rPr>
                <w:rFonts w:hint="eastAsia" w:ascii="宋体" w:hAnsi="宋体"/>
                <w:szCs w:val="21"/>
              </w:rPr>
              <w:t>自动</w:t>
            </w:r>
          </w:p>
        </w:tc>
        <w:tc>
          <w:tcPr>
            <w:tcW w:w="2121" w:type="dxa"/>
            <w:gridSpan w:val="3"/>
            <w:tcBorders>
              <w:right w:val="single" w:color="auto" w:sz="4" w:space="0"/>
            </w:tcBorders>
            <w:noWrap/>
            <w:vAlign w:val="center"/>
          </w:tcPr>
          <w:p w14:paraId="44F81A11">
            <w:pPr>
              <w:adjustRightInd w:val="0"/>
              <w:snapToGrid w:val="0"/>
              <w:spacing w:line="240" w:lineRule="auto"/>
              <w:ind w:firstLine="0" w:firstLineChars="0"/>
              <w:rPr>
                <w:rFonts w:ascii="宋体" w:hAnsi="宋体"/>
                <w:szCs w:val="21"/>
              </w:rPr>
            </w:pPr>
            <w:r>
              <w:rPr>
                <w:rFonts w:hint="eastAsia" w:ascii="宋体" w:hAnsi="宋体"/>
                <w:szCs w:val="21"/>
              </w:rPr>
              <w:t>简易</w:t>
            </w:r>
          </w:p>
        </w:tc>
        <w:tc>
          <w:tcPr>
            <w:tcW w:w="1940" w:type="dxa"/>
            <w:tcBorders>
              <w:left w:val="single" w:color="auto" w:sz="4" w:space="0"/>
            </w:tcBorders>
            <w:noWrap/>
            <w:vAlign w:val="center"/>
          </w:tcPr>
          <w:p w14:paraId="39EFB476">
            <w:pPr>
              <w:adjustRightInd w:val="0"/>
              <w:snapToGrid w:val="0"/>
              <w:spacing w:line="240" w:lineRule="auto"/>
              <w:ind w:firstLine="0" w:firstLineChars="0"/>
              <w:rPr>
                <w:rFonts w:ascii="宋体" w:hAnsi="宋体"/>
                <w:szCs w:val="21"/>
              </w:rPr>
            </w:pPr>
            <w:r>
              <w:rPr>
                <w:rFonts w:hint="eastAsia" w:ascii="宋体" w:hAnsi="宋体"/>
                <w:szCs w:val="21"/>
              </w:rPr>
              <w:t>人工</w:t>
            </w:r>
          </w:p>
        </w:tc>
      </w:tr>
      <w:tr w14:paraId="0E57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tcBorders>
              <w:top w:val="single" w:color="auto" w:sz="4" w:space="0"/>
              <w:bottom w:val="single" w:color="auto" w:sz="4" w:space="0"/>
              <w:right w:val="single" w:color="auto" w:sz="4" w:space="0"/>
            </w:tcBorders>
            <w:noWrap/>
            <w:vAlign w:val="center"/>
          </w:tcPr>
          <w:p w14:paraId="6DE37C98">
            <w:pPr>
              <w:adjustRightInd w:val="0"/>
              <w:snapToGrid w:val="0"/>
              <w:spacing w:line="240" w:lineRule="auto"/>
              <w:ind w:firstLine="0" w:firstLineChars="0"/>
              <w:rPr>
                <w:rFonts w:ascii="宋体" w:hAnsi="宋体"/>
                <w:szCs w:val="21"/>
              </w:rPr>
            </w:pPr>
            <w:r>
              <w:rPr>
                <w:rFonts w:hint="eastAsia" w:ascii="宋体" w:hAnsi="宋体"/>
                <w:szCs w:val="21"/>
              </w:rPr>
              <w:t>汛期</w:t>
            </w:r>
          </w:p>
        </w:tc>
        <w:tc>
          <w:tcPr>
            <w:tcW w:w="4061" w:type="dxa"/>
            <w:gridSpan w:val="5"/>
            <w:noWrap/>
            <w:vAlign w:val="center"/>
          </w:tcPr>
          <w:p w14:paraId="459D406E">
            <w:pPr>
              <w:adjustRightInd w:val="0"/>
              <w:snapToGrid w:val="0"/>
              <w:spacing w:line="240" w:lineRule="auto"/>
              <w:ind w:firstLine="0" w:firstLineChars="0"/>
              <w:rPr>
                <w:rFonts w:ascii="宋体" w:hAnsi="宋体"/>
                <w:szCs w:val="21"/>
              </w:rPr>
            </w:pPr>
            <w:r>
              <w:rPr>
                <w:rFonts w:hint="eastAsia" w:ascii="宋体" w:hAnsi="宋体"/>
                <w:szCs w:val="21"/>
              </w:rPr>
              <w:t>6月1日</w:t>
            </w:r>
            <w:r>
              <w:rPr>
                <w:rFonts w:hint="eastAsia" w:ascii="宋体" w:hAnsi="宋体"/>
                <w:szCs w:val="21"/>
                <w:lang w:eastAsia="zh-CN"/>
              </w:rPr>
              <w:t>—</w:t>
            </w:r>
            <w:r>
              <w:rPr>
                <w:rFonts w:hint="eastAsia" w:ascii="宋体" w:hAnsi="宋体"/>
                <w:szCs w:val="21"/>
              </w:rPr>
              <w:t>9月30日</w:t>
            </w:r>
          </w:p>
        </w:tc>
        <w:tc>
          <w:tcPr>
            <w:tcW w:w="4061" w:type="dxa"/>
            <w:gridSpan w:val="4"/>
            <w:vMerge w:val="restart"/>
            <w:noWrap/>
            <w:vAlign w:val="center"/>
          </w:tcPr>
          <w:p w14:paraId="214969B9">
            <w:pPr>
              <w:adjustRightInd w:val="0"/>
              <w:snapToGrid w:val="0"/>
              <w:spacing w:line="240" w:lineRule="auto"/>
              <w:ind w:firstLine="0" w:firstLineChars="0"/>
              <w:rPr>
                <w:rFonts w:ascii="宋体" w:hAnsi="宋体"/>
                <w:szCs w:val="21"/>
              </w:rPr>
            </w:pPr>
          </w:p>
        </w:tc>
      </w:tr>
      <w:tr w14:paraId="78AF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tcBorders>
              <w:top w:val="single" w:color="auto" w:sz="4" w:space="0"/>
              <w:bottom w:val="single" w:color="auto" w:sz="4" w:space="0"/>
              <w:right w:val="single" w:color="auto" w:sz="4" w:space="0"/>
            </w:tcBorders>
            <w:noWrap/>
            <w:vAlign w:val="center"/>
          </w:tcPr>
          <w:p w14:paraId="4A970957">
            <w:pPr>
              <w:adjustRightInd w:val="0"/>
              <w:snapToGrid w:val="0"/>
              <w:spacing w:line="240" w:lineRule="auto"/>
              <w:ind w:firstLine="0" w:firstLineChars="0"/>
              <w:rPr>
                <w:rFonts w:ascii="宋体" w:hAnsi="宋体"/>
                <w:szCs w:val="21"/>
              </w:rPr>
            </w:pPr>
            <w:r>
              <w:rPr>
                <w:rFonts w:hint="eastAsia" w:ascii="宋体" w:hAnsi="宋体"/>
                <w:szCs w:val="21"/>
              </w:rPr>
              <w:t>主汛期</w:t>
            </w:r>
          </w:p>
        </w:tc>
        <w:tc>
          <w:tcPr>
            <w:tcW w:w="4061" w:type="dxa"/>
            <w:gridSpan w:val="5"/>
            <w:noWrap/>
            <w:vAlign w:val="center"/>
          </w:tcPr>
          <w:p w14:paraId="5461D328">
            <w:pPr>
              <w:adjustRightInd w:val="0"/>
              <w:snapToGrid w:val="0"/>
              <w:spacing w:line="240" w:lineRule="auto"/>
              <w:ind w:firstLine="0" w:firstLineChars="0"/>
              <w:rPr>
                <w:rFonts w:ascii="宋体" w:hAnsi="宋体"/>
                <w:szCs w:val="21"/>
              </w:rPr>
            </w:pPr>
            <w:r>
              <w:rPr>
                <w:rFonts w:hint="eastAsia" w:ascii="宋体" w:hAnsi="宋体"/>
                <w:szCs w:val="21"/>
              </w:rPr>
              <w:t>7月1日</w:t>
            </w:r>
            <w:r>
              <w:rPr>
                <w:rFonts w:hint="eastAsia" w:ascii="宋体" w:hAnsi="宋体"/>
                <w:szCs w:val="21"/>
                <w:lang w:eastAsia="zh-CN"/>
              </w:rPr>
              <w:t>—</w:t>
            </w:r>
            <w:r>
              <w:rPr>
                <w:rFonts w:hint="eastAsia" w:ascii="宋体" w:hAnsi="宋体"/>
                <w:szCs w:val="21"/>
              </w:rPr>
              <w:t>8月30日</w:t>
            </w:r>
          </w:p>
        </w:tc>
        <w:tc>
          <w:tcPr>
            <w:tcW w:w="4061" w:type="dxa"/>
            <w:gridSpan w:val="4"/>
            <w:vMerge w:val="continue"/>
            <w:noWrap/>
            <w:vAlign w:val="center"/>
          </w:tcPr>
          <w:p w14:paraId="67432F47">
            <w:pPr>
              <w:adjustRightInd w:val="0"/>
              <w:snapToGrid w:val="0"/>
              <w:spacing w:line="240" w:lineRule="auto"/>
              <w:ind w:firstLine="0" w:firstLineChars="0"/>
              <w:rPr>
                <w:rFonts w:ascii="宋体" w:hAnsi="宋体"/>
                <w:szCs w:val="21"/>
              </w:rPr>
            </w:pPr>
          </w:p>
        </w:tc>
      </w:tr>
      <w:tr w14:paraId="29D0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exact"/>
          <w:jc w:val="center"/>
        </w:trPr>
        <w:tc>
          <w:tcPr>
            <w:tcW w:w="1278" w:type="dxa"/>
            <w:tcBorders>
              <w:top w:val="single" w:color="auto" w:sz="4" w:space="0"/>
              <w:right w:val="single" w:color="auto" w:sz="4" w:space="0"/>
            </w:tcBorders>
            <w:noWrap/>
            <w:vAlign w:val="center"/>
          </w:tcPr>
          <w:p w14:paraId="4D2783C7">
            <w:pPr>
              <w:adjustRightInd w:val="0"/>
              <w:snapToGrid w:val="0"/>
              <w:spacing w:line="240" w:lineRule="auto"/>
              <w:ind w:firstLine="0" w:firstLineChars="0"/>
              <w:rPr>
                <w:rFonts w:hint="eastAsia" w:ascii="宋体" w:hAnsi="宋体"/>
                <w:szCs w:val="21"/>
              </w:rPr>
            </w:pPr>
            <w:r>
              <w:rPr>
                <w:rFonts w:hint="eastAsia" w:ascii="宋体" w:hAnsi="宋体"/>
                <w:szCs w:val="21"/>
              </w:rPr>
              <w:t xml:space="preserve">汛 期调 </w:t>
            </w:r>
          </w:p>
          <w:p w14:paraId="3528128B">
            <w:pPr>
              <w:adjustRightInd w:val="0"/>
              <w:snapToGrid w:val="0"/>
              <w:spacing w:line="240" w:lineRule="auto"/>
              <w:ind w:firstLine="0" w:firstLineChars="0"/>
              <w:rPr>
                <w:rFonts w:ascii="宋体" w:hAnsi="宋体"/>
                <w:szCs w:val="21"/>
              </w:rPr>
            </w:pPr>
            <w:r>
              <w:rPr>
                <w:rFonts w:hint="eastAsia" w:ascii="宋体" w:hAnsi="宋体"/>
                <w:szCs w:val="21"/>
              </w:rPr>
              <w:t>度方式</w:t>
            </w:r>
          </w:p>
        </w:tc>
        <w:tc>
          <w:tcPr>
            <w:tcW w:w="8122" w:type="dxa"/>
            <w:gridSpan w:val="9"/>
            <w:tcBorders>
              <w:left w:val="single" w:color="auto" w:sz="4" w:space="0"/>
            </w:tcBorders>
            <w:noWrap/>
            <w:vAlign w:val="center"/>
          </w:tcPr>
          <w:p w14:paraId="7C53E2D4">
            <w:pPr>
              <w:adjustRightInd w:val="0"/>
              <w:snapToGrid w:val="0"/>
              <w:spacing w:line="240" w:lineRule="auto"/>
              <w:ind w:firstLine="0" w:firstLineChars="0"/>
              <w:rPr>
                <w:rFonts w:ascii="宋体" w:hAnsi="宋体"/>
                <w:szCs w:val="21"/>
              </w:rPr>
            </w:pPr>
            <w:r>
              <w:rPr>
                <w:rFonts w:hint="eastAsia" w:ascii="宋体" w:hAnsi="宋体"/>
                <w:szCs w:val="21"/>
              </w:rPr>
              <w:t>空库运行</w:t>
            </w:r>
          </w:p>
        </w:tc>
      </w:tr>
      <w:tr w14:paraId="711F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1278" w:type="dxa"/>
            <w:tcBorders>
              <w:right w:val="single" w:color="auto" w:sz="4" w:space="0"/>
            </w:tcBorders>
            <w:noWrap/>
            <w:vAlign w:val="center"/>
          </w:tcPr>
          <w:p w14:paraId="47C76D0E">
            <w:pPr>
              <w:adjustRightInd w:val="0"/>
              <w:snapToGrid w:val="0"/>
              <w:spacing w:line="240" w:lineRule="auto"/>
              <w:ind w:firstLine="0" w:firstLineChars="0"/>
              <w:rPr>
                <w:rFonts w:ascii="宋体" w:hAnsi="宋体"/>
                <w:szCs w:val="21"/>
              </w:rPr>
            </w:pPr>
            <w:r>
              <w:rPr>
                <w:rFonts w:hint="eastAsia" w:ascii="宋体" w:hAnsi="宋体"/>
                <w:szCs w:val="21"/>
              </w:rPr>
              <w:t>防护对象</w:t>
            </w:r>
          </w:p>
        </w:tc>
        <w:tc>
          <w:tcPr>
            <w:tcW w:w="8122" w:type="dxa"/>
            <w:gridSpan w:val="9"/>
            <w:noWrap/>
            <w:vAlign w:val="center"/>
          </w:tcPr>
          <w:p w14:paraId="6EDC508E">
            <w:pPr>
              <w:adjustRightInd w:val="0"/>
              <w:snapToGrid w:val="0"/>
              <w:spacing w:line="240" w:lineRule="auto"/>
              <w:ind w:firstLine="0" w:firstLineChars="0"/>
              <w:rPr>
                <w:rFonts w:ascii="宋体" w:hAnsi="宋体"/>
                <w:szCs w:val="21"/>
              </w:rPr>
            </w:pPr>
            <w:r>
              <w:rPr>
                <w:rFonts w:hint="eastAsia" w:ascii="宋体" w:hAnsi="宋体"/>
                <w:szCs w:val="21"/>
              </w:rPr>
              <w:t>下游6000口人和经一山线40km的国家二级公路、</w:t>
            </w:r>
            <w:r>
              <w:rPr>
                <w:rFonts w:hint="eastAsia" w:ascii="宋体" w:hAnsi="宋体"/>
                <w:szCs w:val="21"/>
                <w:lang w:eastAsia="zh-CN"/>
              </w:rPr>
              <w:t>西拉木伦河</w:t>
            </w:r>
            <w:r>
              <w:rPr>
                <w:rFonts w:hint="eastAsia" w:ascii="宋体" w:hAnsi="宋体"/>
                <w:szCs w:val="21"/>
              </w:rPr>
              <w:t>上的黑水公路大桥、下游1.9*10</w:t>
            </w:r>
            <w:r>
              <w:rPr>
                <w:rFonts w:hint="eastAsia" w:ascii="宋体" w:hAnsi="宋体"/>
                <w:szCs w:val="21"/>
                <w:vertAlign w:val="superscript"/>
              </w:rPr>
              <w:t>4</w:t>
            </w:r>
            <w:r>
              <w:rPr>
                <w:rFonts w:hint="eastAsia" w:ascii="宋体" w:hAnsi="宋体"/>
                <w:szCs w:val="21"/>
              </w:rPr>
              <w:t>亩的农田和10*10</w:t>
            </w:r>
            <w:r>
              <w:rPr>
                <w:rFonts w:hint="eastAsia" w:ascii="宋体" w:hAnsi="宋体"/>
                <w:szCs w:val="21"/>
                <w:vertAlign w:val="superscript"/>
              </w:rPr>
              <w:t>4</w:t>
            </w:r>
            <w:r>
              <w:rPr>
                <w:rFonts w:hint="eastAsia" w:ascii="宋体" w:hAnsi="宋体"/>
                <w:szCs w:val="21"/>
              </w:rPr>
              <w:t>亩草场。</w:t>
            </w:r>
          </w:p>
        </w:tc>
      </w:tr>
    </w:tbl>
    <w:p w14:paraId="3932C3DB">
      <w:pPr>
        <w:ind w:firstLine="0" w:firstLineChars="0"/>
        <w:rPr>
          <w:rFonts w:ascii="宋体" w:hAnsi="宋体"/>
          <w:bCs/>
          <w:color w:val="000000" w:themeColor="text1"/>
          <w:sz w:val="32"/>
          <w:szCs w:val="32"/>
          <w14:textFill>
            <w14:solidFill>
              <w14:schemeClr w14:val="tx1"/>
            </w14:solidFill>
          </w14:textFill>
        </w:rPr>
      </w:pPr>
      <w:r>
        <w:rPr>
          <w:rFonts w:hint="eastAsia" w:ascii="宋体" w:hAnsi="宋体"/>
          <w:bCs/>
          <w:color w:val="000000" w:themeColor="text1"/>
          <w:sz w:val="32"/>
          <w:szCs w:val="32"/>
          <w14:textFill>
            <w14:solidFill>
              <w14:schemeClr w14:val="tx1"/>
            </w14:solidFill>
          </w14:textFill>
        </w:rPr>
        <w:br w:type="page"/>
      </w:r>
    </w:p>
    <w:p w14:paraId="6DE51C7F">
      <w:pPr>
        <w:pStyle w:val="4"/>
        <w:keepNext/>
        <w:keepLines/>
        <w:pageBreakBefore w:val="0"/>
        <w:widowControl w:val="0"/>
        <w:kinsoku/>
        <w:wordWrap/>
        <w:overflowPunct/>
        <w:topLinePunct w:val="0"/>
        <w:autoSpaceDE/>
        <w:autoSpaceDN/>
        <w:bidi w:val="0"/>
        <w:adjustRightInd/>
        <w:snapToGrid/>
        <w:spacing w:before="0" w:after="0" w:line="560" w:lineRule="exact"/>
        <w:ind w:firstLine="0" w:firstLineChars="0"/>
        <w:textAlignment w:val="auto"/>
        <w:rPr>
          <w:rFonts w:hint="eastAsia" w:ascii="仿宋_GB2312" w:hAnsi="仿宋_GB2312" w:eastAsia="仿宋_GB2312" w:cs="仿宋_GB2312"/>
          <w:b/>
          <w:bCs w:val="0"/>
        </w:rPr>
      </w:pPr>
      <w:bookmarkStart w:id="661" w:name="_Toc4739"/>
      <w:r>
        <w:rPr>
          <w:rFonts w:hint="eastAsia" w:ascii="仿宋_GB2312" w:hAnsi="仿宋_GB2312" w:eastAsia="仿宋_GB2312" w:cs="仿宋_GB2312"/>
          <w:b/>
          <w:bCs w:val="0"/>
        </w:rPr>
        <w:t>7.6.3附图</w:t>
      </w:r>
      <w:bookmarkEnd w:id="661"/>
    </w:p>
    <w:p w14:paraId="64FB3A0C">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62" w:name="_Toc11520"/>
      <w:r>
        <w:rPr>
          <w:rFonts w:hint="eastAsia" w:ascii="仿宋_GB2312" w:hAnsi="仿宋_GB2312" w:eastAsia="仿宋_GB2312" w:cs="仿宋_GB2312"/>
          <w:b w:val="0"/>
          <w:bCs/>
          <w:sz w:val="32"/>
          <w:szCs w:val="32"/>
        </w:rPr>
        <w:t>附图1：防汛预警响应工作流程图</w:t>
      </w:r>
      <w:bookmarkEnd w:id="662"/>
    </w:p>
    <w:p w14:paraId="5D2C108B">
      <w:pPr>
        <w:ind w:firstLine="600"/>
        <w:jc w:val="left"/>
        <w:rPr>
          <w:rFonts w:ascii="宋体" w:hAnsi="宋体"/>
          <w:color w:val="FF0000"/>
          <w:sz w:val="30"/>
          <w:szCs w:val="30"/>
        </w:rPr>
      </w:pPr>
      <w:bookmarkStart w:id="663" w:name="_Toc13062"/>
      <w:r>
        <w:rPr>
          <w:rFonts w:hint="eastAsia" w:ascii="宋体" w:hAnsi="宋体"/>
          <w:color w:val="FF0000"/>
          <w:sz w:val="30"/>
          <w:szCs w:val="30"/>
        </w:rPr>
        <w:drawing>
          <wp:anchor distT="0" distB="0" distL="114300" distR="114300" simplePos="0" relativeHeight="251659264" behindDoc="0" locked="0" layoutInCell="1" allowOverlap="1">
            <wp:simplePos x="0" y="0"/>
            <wp:positionH relativeFrom="column">
              <wp:posOffset>340360</wp:posOffset>
            </wp:positionH>
            <wp:positionV relativeFrom="paragraph">
              <wp:posOffset>116205</wp:posOffset>
            </wp:positionV>
            <wp:extent cx="4759960" cy="7715885"/>
            <wp:effectExtent l="0" t="0" r="0" b="0"/>
            <wp:wrapSquare wrapText="bothSides"/>
            <wp:docPr id="2" name="图片 1" descr="条件判断流程图-预警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条件判断流程图-预警响应"/>
                    <pic:cNvPicPr>
                      <a:picLocks noChangeAspect="1"/>
                    </pic:cNvPicPr>
                  </pic:nvPicPr>
                  <pic:blipFill>
                    <a:blip r:embed="rId8"/>
                    <a:stretch>
                      <a:fillRect/>
                    </a:stretch>
                  </pic:blipFill>
                  <pic:spPr>
                    <a:xfrm>
                      <a:off x="0" y="0"/>
                      <a:ext cx="4759960" cy="7715885"/>
                    </a:xfrm>
                    <a:prstGeom prst="rect">
                      <a:avLst/>
                    </a:prstGeom>
                    <a:noFill/>
                    <a:ln>
                      <a:noFill/>
                    </a:ln>
                  </pic:spPr>
                </pic:pic>
              </a:graphicData>
            </a:graphic>
          </wp:anchor>
        </w:drawing>
      </w:r>
      <w:r>
        <w:rPr>
          <w:rFonts w:hint="eastAsia" w:ascii="宋体" w:hAnsi="宋体"/>
          <w:color w:val="FF0000"/>
          <w:sz w:val="30"/>
          <w:szCs w:val="30"/>
        </w:rPr>
        <w:br w:type="page"/>
      </w:r>
      <w:bookmarkEnd w:id="663"/>
    </w:p>
    <w:p w14:paraId="72B50F93">
      <w:pPr>
        <w:pStyle w:val="5"/>
        <w:keepNext/>
        <w:keepLines/>
        <w:pageBreakBefore w:val="0"/>
        <w:widowControl w:val="0"/>
        <w:kinsoku/>
        <w:wordWrap/>
        <w:overflowPunct/>
        <w:topLinePunct w:val="0"/>
        <w:autoSpaceDE/>
        <w:autoSpaceDN/>
        <w:bidi w:val="0"/>
        <w:adjustRightInd/>
        <w:snapToGrid/>
        <w:spacing w:before="0" w:after="0" w:line="600" w:lineRule="exact"/>
        <w:ind w:firstLine="0" w:firstLineChars="0"/>
        <w:jc w:val="left"/>
        <w:textAlignment w:val="auto"/>
        <w:rPr>
          <w:rFonts w:hint="eastAsia" w:ascii="仿宋_GB2312" w:hAnsi="仿宋_GB2312" w:eastAsia="仿宋_GB2312" w:cs="仿宋_GB2312"/>
          <w:b w:val="0"/>
          <w:bCs/>
          <w:sz w:val="32"/>
          <w:szCs w:val="32"/>
        </w:rPr>
      </w:pPr>
      <w:bookmarkStart w:id="664" w:name="_Toc14609"/>
      <w:r>
        <w:rPr>
          <w:rFonts w:hint="eastAsia" w:ascii="仿宋_GB2312" w:hAnsi="仿宋_GB2312" w:eastAsia="仿宋_GB2312" w:cs="仿宋_GB2312"/>
          <w:b w:val="0"/>
          <w:bCs/>
          <w:sz w:val="32"/>
          <w:szCs w:val="32"/>
        </w:rPr>
        <w:t>附图2：防汛抗旱应急响应工作流程图</w:t>
      </w:r>
      <w:bookmarkEnd w:id="664"/>
    </w:p>
    <w:p w14:paraId="530CF669">
      <w:pPr>
        <w:pStyle w:val="26"/>
        <w:jc w:val="center"/>
        <w:rPr>
          <w:rFonts w:hint="eastAsia" w:ascii="宋体" w:hAnsi="宋体" w:eastAsia="宋体" w:cs="宋体"/>
          <w:color w:val="FF0000"/>
          <w:sz w:val="30"/>
          <w:szCs w:val="30"/>
        </w:rPr>
      </w:pPr>
      <w:r>
        <w:rPr>
          <w:rFonts w:hint="eastAsia" w:ascii="宋体" w:hAnsi="宋体" w:eastAsia="宋体" w:cs="宋体"/>
          <w:color w:val="FF0000"/>
          <w:sz w:val="30"/>
          <w:szCs w:val="30"/>
        </w:rPr>
        <w:drawing>
          <wp:inline distT="0" distB="0" distL="114300" distR="114300">
            <wp:extent cx="2997835" cy="5652770"/>
            <wp:effectExtent l="0" t="0" r="0" b="0"/>
            <wp:docPr id="3" name="图片 2" descr="条件判断流程图-应急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条件判断流程图-应急响应"/>
                    <pic:cNvPicPr>
                      <a:picLocks noChangeAspect="1"/>
                    </pic:cNvPicPr>
                  </pic:nvPicPr>
                  <pic:blipFill>
                    <a:blip r:embed="rId9"/>
                    <a:stretch>
                      <a:fillRect/>
                    </a:stretch>
                  </pic:blipFill>
                  <pic:spPr>
                    <a:xfrm>
                      <a:off x="0" y="0"/>
                      <a:ext cx="2997835" cy="5652770"/>
                    </a:xfrm>
                    <a:prstGeom prst="rect">
                      <a:avLst/>
                    </a:prstGeom>
                    <a:noFill/>
                    <a:ln>
                      <a:noFill/>
                    </a:ln>
                  </pic:spPr>
                </pic:pic>
              </a:graphicData>
            </a:graphic>
          </wp:inline>
        </w:drawing>
      </w:r>
    </w:p>
    <w:p w14:paraId="1346F57E">
      <w:pPr>
        <w:pStyle w:val="26"/>
        <w:jc w:val="center"/>
        <w:rPr>
          <w:rFonts w:hint="eastAsia" w:ascii="宋体" w:hAnsi="宋体" w:eastAsia="宋体" w:cs="宋体"/>
          <w:color w:val="FF0000"/>
          <w:sz w:val="30"/>
          <w:szCs w:val="30"/>
        </w:rPr>
      </w:pPr>
    </w:p>
    <w:p w14:paraId="4B61AAB4">
      <w:pPr>
        <w:pStyle w:val="26"/>
        <w:jc w:val="center"/>
        <w:rPr>
          <w:rFonts w:hint="eastAsia" w:ascii="宋体" w:hAnsi="宋体" w:eastAsia="宋体" w:cs="宋体"/>
          <w:color w:val="FF0000"/>
          <w:sz w:val="30"/>
          <w:szCs w:val="30"/>
        </w:rPr>
      </w:pPr>
    </w:p>
    <w:p w14:paraId="56D49045">
      <w:pPr>
        <w:pStyle w:val="26"/>
        <w:jc w:val="center"/>
        <w:rPr>
          <w:rFonts w:hint="eastAsia" w:ascii="宋体" w:hAnsi="宋体" w:eastAsia="宋体" w:cs="宋体"/>
          <w:color w:val="FF0000"/>
          <w:sz w:val="30"/>
          <w:szCs w:val="30"/>
        </w:rPr>
      </w:pPr>
    </w:p>
    <w:p w14:paraId="0B32076F">
      <w:pPr>
        <w:pStyle w:val="26"/>
        <w:jc w:val="center"/>
        <w:rPr>
          <w:rFonts w:hint="eastAsia" w:ascii="宋体" w:hAnsi="宋体" w:eastAsia="宋体" w:cs="宋体"/>
          <w:color w:val="FF0000"/>
          <w:sz w:val="30"/>
          <w:szCs w:val="30"/>
        </w:rPr>
      </w:pPr>
    </w:p>
    <w:p w14:paraId="5B125F28">
      <w:pPr>
        <w:pStyle w:val="26"/>
        <w:jc w:val="both"/>
        <w:rPr>
          <w:rFonts w:hint="eastAsia" w:ascii="宋体" w:hAnsi="宋体" w:eastAsia="宋体" w:cs="宋体"/>
          <w:color w:val="FF0000"/>
          <w:sz w:val="30"/>
          <w:szCs w:val="30"/>
        </w:rPr>
      </w:pPr>
    </w:p>
    <w:sectPr>
      <w:pgSz w:w="11906" w:h="16838"/>
      <w:pgMar w:top="1956" w:right="1474" w:bottom="1843" w:left="158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6FCF198-4AC9-4B5B-9622-F547B1F1C7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22B2A554-585C-4A64-BB66-E16A1F37444A}"/>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4C77FF6F-5652-489D-9C44-3EA6197DEE78}"/>
  </w:font>
  <w:font w:name="方正大标宋简体">
    <w:panose1 w:val="02000000000000000000"/>
    <w:charset w:val="86"/>
    <w:family w:val="auto"/>
    <w:pitch w:val="default"/>
    <w:sig w:usb0="A00002BF" w:usb1="184F6CFA" w:usb2="00000012" w:usb3="00000000" w:csb0="00040001" w:csb1="00000000"/>
    <w:embedRegular r:id="rId4" w:fontKey="{ADE32CAE-A421-4750-A224-C2B4976B75AE}"/>
  </w:font>
  <w:font w:name="仿宋">
    <w:panose1 w:val="02010609060101010101"/>
    <w:charset w:val="86"/>
    <w:family w:val="modern"/>
    <w:pitch w:val="default"/>
    <w:sig w:usb0="800002BF" w:usb1="38CF7CFA" w:usb2="00000016" w:usb3="00000000" w:csb0="00040001" w:csb1="00000000"/>
    <w:embedRegular r:id="rId5" w:fontKey="{E04F0FA2-D554-47E1-98CC-B9FEAF54445B}"/>
  </w:font>
  <w:font w:name="等线">
    <w:panose1 w:val="02010600030101010101"/>
    <w:charset w:val="86"/>
    <w:family w:val="auto"/>
    <w:pitch w:val="default"/>
    <w:sig w:usb0="A00002BF" w:usb1="38CF7CFA" w:usb2="00000016" w:usb3="00000000" w:csb0="0004000F" w:csb1="00000000"/>
    <w:embedRegular r:id="rId6" w:fontKey="{39E1828D-A5A9-4CD0-9D79-AD8ECB34BA43}"/>
  </w:font>
  <w:font w:name="WPSEMBED2">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0477">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D0BACC2">
                          <w:pPr>
                            <w:pStyle w:val="12"/>
                            <w:ind w:firstLine="360"/>
                          </w:pPr>
                          <w:r>
                            <w:fldChar w:fldCharType="begin"/>
                          </w:r>
                          <w:r>
                            <w:instrText xml:space="preserve"> PAGE  \* MERGEFORMAT </w:instrText>
                          </w:r>
                          <w:r>
                            <w:fldChar w:fldCharType="separate"/>
                          </w:r>
                          <w:r>
                            <w:t>48</w:t>
                          </w:r>
                          <w:r>
                            <w:fldChar w:fldCharType="end"/>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YxI8wtsBAAC3AwAADgAAAAAAAAAB&#10;ACAAAAAfAQAAZHJzL2Uyb0RvYy54bWxQSwUGAAAAAAYABgBZAQAAbAUAAAAA&#10;">
              <v:fill on="f" focussize="0,0"/>
              <v:stroke on="f"/>
              <v:imagedata o:title=""/>
              <o:lock v:ext="edit" aspectratio="f"/>
              <v:textbox inset="0mm,0mm,0mm,0mm" style="mso-fit-shape-to-text:t;">
                <w:txbxContent>
                  <w:p w14:paraId="7D0BACC2">
                    <w:pPr>
                      <w:pStyle w:val="12"/>
                      <w:ind w:firstLine="360"/>
                    </w:pPr>
                    <w:r>
                      <w:fldChar w:fldCharType="begin"/>
                    </w:r>
                    <w:r>
                      <w:instrText xml:space="preserve"> PAGE  \* MERGEFORMAT </w:instrText>
                    </w:r>
                    <w:r>
                      <w:fldChar w:fldCharType="separate"/>
                    </w:r>
                    <w:r>
                      <w:t>48</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0F07">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2"/>
    <w:multiLevelType w:val="singleLevel"/>
    <w:tmpl w:val="00000002"/>
    <w:lvl w:ilvl="0" w:tentative="0">
      <w:start w:val="4"/>
      <w:numFmt w:val="decimal"/>
      <w:suff w:val="nothing"/>
      <w:lvlText w:val="（%1）"/>
      <w:lvlJc w:val="left"/>
    </w:lvl>
  </w:abstractNum>
  <w:abstractNum w:abstractNumId="2">
    <w:nsid w:val="00000004"/>
    <w:multiLevelType w:val="singleLevel"/>
    <w:tmpl w:val="00000004"/>
    <w:lvl w:ilvl="0" w:tentative="0">
      <w:start w:val="4"/>
      <w:numFmt w:val="decimal"/>
      <w:suff w:val="nothing"/>
      <w:lvlText w:val="（%1）"/>
      <w:lvlJc w:val="left"/>
    </w:lvl>
  </w:abstractNum>
  <w:abstractNum w:abstractNumId="3">
    <w:nsid w:val="263EC877"/>
    <w:multiLevelType w:val="singleLevel"/>
    <w:tmpl w:val="263EC877"/>
    <w:lvl w:ilvl="0" w:tentative="0">
      <w:start w:val="2"/>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FlMWE5NjI4NGVmNGI5OTkyMGFlZWI2ZjU0MzJlM2MifQ=="/>
  </w:docVars>
  <w:rsids>
    <w:rsidRoot w:val="005470C4"/>
    <w:rsid w:val="000017FD"/>
    <w:rsid w:val="00002435"/>
    <w:rsid w:val="00041DEB"/>
    <w:rsid w:val="00087370"/>
    <w:rsid w:val="000D4DA8"/>
    <w:rsid w:val="00152A33"/>
    <w:rsid w:val="00154873"/>
    <w:rsid w:val="00172C8D"/>
    <w:rsid w:val="00196606"/>
    <w:rsid w:val="001A29A2"/>
    <w:rsid w:val="001F5D46"/>
    <w:rsid w:val="002252DA"/>
    <w:rsid w:val="00232FC0"/>
    <w:rsid w:val="00254487"/>
    <w:rsid w:val="00283E7D"/>
    <w:rsid w:val="00291D78"/>
    <w:rsid w:val="002C3F6D"/>
    <w:rsid w:val="002C7DE1"/>
    <w:rsid w:val="002F0E27"/>
    <w:rsid w:val="003100E7"/>
    <w:rsid w:val="0031266C"/>
    <w:rsid w:val="00322415"/>
    <w:rsid w:val="003610C3"/>
    <w:rsid w:val="003709CA"/>
    <w:rsid w:val="003724AD"/>
    <w:rsid w:val="00386D41"/>
    <w:rsid w:val="003D4CAD"/>
    <w:rsid w:val="004338C6"/>
    <w:rsid w:val="0045795F"/>
    <w:rsid w:val="0046495F"/>
    <w:rsid w:val="00476231"/>
    <w:rsid w:val="004772DF"/>
    <w:rsid w:val="00484692"/>
    <w:rsid w:val="004A2710"/>
    <w:rsid w:val="004A271F"/>
    <w:rsid w:val="004A4765"/>
    <w:rsid w:val="004B2693"/>
    <w:rsid w:val="004C344E"/>
    <w:rsid w:val="004D6A7F"/>
    <w:rsid w:val="00503FA6"/>
    <w:rsid w:val="00517E79"/>
    <w:rsid w:val="00522311"/>
    <w:rsid w:val="00534E57"/>
    <w:rsid w:val="005470C4"/>
    <w:rsid w:val="005A6A0E"/>
    <w:rsid w:val="005D1AAA"/>
    <w:rsid w:val="005E57F0"/>
    <w:rsid w:val="005E6043"/>
    <w:rsid w:val="006777B6"/>
    <w:rsid w:val="00677CB9"/>
    <w:rsid w:val="00681C94"/>
    <w:rsid w:val="00691769"/>
    <w:rsid w:val="006A1FA3"/>
    <w:rsid w:val="006B1937"/>
    <w:rsid w:val="006C0DEA"/>
    <w:rsid w:val="006D6712"/>
    <w:rsid w:val="006E046B"/>
    <w:rsid w:val="006E6168"/>
    <w:rsid w:val="00735B2C"/>
    <w:rsid w:val="0074368A"/>
    <w:rsid w:val="00786EBF"/>
    <w:rsid w:val="007B16B4"/>
    <w:rsid w:val="007F4896"/>
    <w:rsid w:val="00820E9E"/>
    <w:rsid w:val="00830573"/>
    <w:rsid w:val="00845AF3"/>
    <w:rsid w:val="00856A83"/>
    <w:rsid w:val="008862D7"/>
    <w:rsid w:val="008C3C46"/>
    <w:rsid w:val="008E0215"/>
    <w:rsid w:val="00912982"/>
    <w:rsid w:val="0096043E"/>
    <w:rsid w:val="00985A49"/>
    <w:rsid w:val="009A6ECC"/>
    <w:rsid w:val="00A0030B"/>
    <w:rsid w:val="00A13F71"/>
    <w:rsid w:val="00A2588A"/>
    <w:rsid w:val="00A34288"/>
    <w:rsid w:val="00A5019F"/>
    <w:rsid w:val="00A67B8B"/>
    <w:rsid w:val="00AD50AC"/>
    <w:rsid w:val="00B16FAF"/>
    <w:rsid w:val="00B961C4"/>
    <w:rsid w:val="00BC6A78"/>
    <w:rsid w:val="00BD077C"/>
    <w:rsid w:val="00BD7956"/>
    <w:rsid w:val="00BF78BD"/>
    <w:rsid w:val="00C26505"/>
    <w:rsid w:val="00C5397C"/>
    <w:rsid w:val="00C623C0"/>
    <w:rsid w:val="00C642E4"/>
    <w:rsid w:val="00C73398"/>
    <w:rsid w:val="00C77A82"/>
    <w:rsid w:val="00C83556"/>
    <w:rsid w:val="00CD643C"/>
    <w:rsid w:val="00D0144C"/>
    <w:rsid w:val="00D20E67"/>
    <w:rsid w:val="00D21DAE"/>
    <w:rsid w:val="00D36AD5"/>
    <w:rsid w:val="00D452A4"/>
    <w:rsid w:val="00D67F1C"/>
    <w:rsid w:val="00DA06BB"/>
    <w:rsid w:val="00DB6F1C"/>
    <w:rsid w:val="00DC1E59"/>
    <w:rsid w:val="00DE5678"/>
    <w:rsid w:val="00E5480A"/>
    <w:rsid w:val="00E62209"/>
    <w:rsid w:val="00EA56F7"/>
    <w:rsid w:val="00EB39B6"/>
    <w:rsid w:val="00EB5290"/>
    <w:rsid w:val="00ED073D"/>
    <w:rsid w:val="00F04E20"/>
    <w:rsid w:val="00F446C6"/>
    <w:rsid w:val="00F476D4"/>
    <w:rsid w:val="00FB0147"/>
    <w:rsid w:val="00FB1514"/>
    <w:rsid w:val="00FB334D"/>
    <w:rsid w:val="00FE5C93"/>
    <w:rsid w:val="00FF451D"/>
    <w:rsid w:val="025D4742"/>
    <w:rsid w:val="03782989"/>
    <w:rsid w:val="03AF3131"/>
    <w:rsid w:val="03ED6ECA"/>
    <w:rsid w:val="04693B13"/>
    <w:rsid w:val="0524743F"/>
    <w:rsid w:val="05685B1E"/>
    <w:rsid w:val="05700721"/>
    <w:rsid w:val="05DD2DA6"/>
    <w:rsid w:val="068C3C97"/>
    <w:rsid w:val="078C3BFC"/>
    <w:rsid w:val="07AA4A77"/>
    <w:rsid w:val="07FD7668"/>
    <w:rsid w:val="08C654DB"/>
    <w:rsid w:val="09372FAB"/>
    <w:rsid w:val="09D53825"/>
    <w:rsid w:val="0A490A46"/>
    <w:rsid w:val="0A832604"/>
    <w:rsid w:val="0B0B3615"/>
    <w:rsid w:val="0B5663DB"/>
    <w:rsid w:val="0B7F2855"/>
    <w:rsid w:val="0BDA6B27"/>
    <w:rsid w:val="0CB70E09"/>
    <w:rsid w:val="0D284441"/>
    <w:rsid w:val="0D2B0BCC"/>
    <w:rsid w:val="0D511A05"/>
    <w:rsid w:val="0D616191"/>
    <w:rsid w:val="0D66311C"/>
    <w:rsid w:val="0D9848D0"/>
    <w:rsid w:val="0E232BA8"/>
    <w:rsid w:val="0E2A44A3"/>
    <w:rsid w:val="0FF13869"/>
    <w:rsid w:val="100C7FE3"/>
    <w:rsid w:val="102929E2"/>
    <w:rsid w:val="10475FE6"/>
    <w:rsid w:val="118D3202"/>
    <w:rsid w:val="11AB2121"/>
    <w:rsid w:val="11E43551"/>
    <w:rsid w:val="12D82174"/>
    <w:rsid w:val="130C7731"/>
    <w:rsid w:val="134C478E"/>
    <w:rsid w:val="13B50FA2"/>
    <w:rsid w:val="13B67A16"/>
    <w:rsid w:val="13E03684"/>
    <w:rsid w:val="14060DE1"/>
    <w:rsid w:val="151C683E"/>
    <w:rsid w:val="157E48BE"/>
    <w:rsid w:val="15C214F1"/>
    <w:rsid w:val="15EC31E6"/>
    <w:rsid w:val="17C20BA8"/>
    <w:rsid w:val="18624C16"/>
    <w:rsid w:val="194E5BB7"/>
    <w:rsid w:val="19731832"/>
    <w:rsid w:val="198B3B37"/>
    <w:rsid w:val="1A7B7DB1"/>
    <w:rsid w:val="1AA42B4A"/>
    <w:rsid w:val="1B3D5596"/>
    <w:rsid w:val="1B583B08"/>
    <w:rsid w:val="1B6C4A8E"/>
    <w:rsid w:val="1BE77C5C"/>
    <w:rsid w:val="1D7059BF"/>
    <w:rsid w:val="1D7A40C4"/>
    <w:rsid w:val="20195575"/>
    <w:rsid w:val="20601F0C"/>
    <w:rsid w:val="20817A88"/>
    <w:rsid w:val="20C718F8"/>
    <w:rsid w:val="20EF154A"/>
    <w:rsid w:val="219F71DD"/>
    <w:rsid w:val="221C4134"/>
    <w:rsid w:val="22923342"/>
    <w:rsid w:val="23DF477D"/>
    <w:rsid w:val="249725A7"/>
    <w:rsid w:val="25633FC7"/>
    <w:rsid w:val="258E1B99"/>
    <w:rsid w:val="25A14134"/>
    <w:rsid w:val="25CB331D"/>
    <w:rsid w:val="266100F9"/>
    <w:rsid w:val="26BF0A2B"/>
    <w:rsid w:val="26F10283"/>
    <w:rsid w:val="282E40B4"/>
    <w:rsid w:val="284044D3"/>
    <w:rsid w:val="28542277"/>
    <w:rsid w:val="28786777"/>
    <w:rsid w:val="28866AD7"/>
    <w:rsid w:val="28FD5473"/>
    <w:rsid w:val="2A0A64AC"/>
    <w:rsid w:val="2A50295E"/>
    <w:rsid w:val="2A586846"/>
    <w:rsid w:val="2B050CFF"/>
    <w:rsid w:val="2B3150C8"/>
    <w:rsid w:val="2B330500"/>
    <w:rsid w:val="2C155A01"/>
    <w:rsid w:val="2CDC672B"/>
    <w:rsid w:val="2D3805D3"/>
    <w:rsid w:val="2D4C4AF1"/>
    <w:rsid w:val="2D592C19"/>
    <w:rsid w:val="2D784FC3"/>
    <w:rsid w:val="2D893EB2"/>
    <w:rsid w:val="2DD41AF8"/>
    <w:rsid w:val="2DE34878"/>
    <w:rsid w:val="2E5C6CA5"/>
    <w:rsid w:val="2F2A2481"/>
    <w:rsid w:val="30063D65"/>
    <w:rsid w:val="304A105F"/>
    <w:rsid w:val="30CA3861"/>
    <w:rsid w:val="319E3B8E"/>
    <w:rsid w:val="31BC599B"/>
    <w:rsid w:val="31D60815"/>
    <w:rsid w:val="31FE6223"/>
    <w:rsid w:val="32363E02"/>
    <w:rsid w:val="32640FA5"/>
    <w:rsid w:val="32683290"/>
    <w:rsid w:val="33164B0C"/>
    <w:rsid w:val="338B103C"/>
    <w:rsid w:val="33B9293B"/>
    <w:rsid w:val="34A75871"/>
    <w:rsid w:val="34CE72A2"/>
    <w:rsid w:val="35170E85"/>
    <w:rsid w:val="3529097C"/>
    <w:rsid w:val="360E3376"/>
    <w:rsid w:val="36111FD3"/>
    <w:rsid w:val="37040C72"/>
    <w:rsid w:val="37E24032"/>
    <w:rsid w:val="37EB7E98"/>
    <w:rsid w:val="38250B51"/>
    <w:rsid w:val="382C3187"/>
    <w:rsid w:val="38961124"/>
    <w:rsid w:val="38D67CAD"/>
    <w:rsid w:val="39B403D1"/>
    <w:rsid w:val="39DC7D6B"/>
    <w:rsid w:val="3A294660"/>
    <w:rsid w:val="3B32793E"/>
    <w:rsid w:val="3B4F4F99"/>
    <w:rsid w:val="3B9C3EF5"/>
    <w:rsid w:val="3C6B5CE4"/>
    <w:rsid w:val="3CC8449B"/>
    <w:rsid w:val="3CE92BF0"/>
    <w:rsid w:val="3CFB4D94"/>
    <w:rsid w:val="3D6F6EEF"/>
    <w:rsid w:val="3DF90CFF"/>
    <w:rsid w:val="3EB2713B"/>
    <w:rsid w:val="3EE07BC8"/>
    <w:rsid w:val="3F5E23A4"/>
    <w:rsid w:val="3F7840FC"/>
    <w:rsid w:val="3F81147B"/>
    <w:rsid w:val="3F87756C"/>
    <w:rsid w:val="4025578C"/>
    <w:rsid w:val="40956B15"/>
    <w:rsid w:val="40F2750E"/>
    <w:rsid w:val="410E2B99"/>
    <w:rsid w:val="42320230"/>
    <w:rsid w:val="4275622E"/>
    <w:rsid w:val="428B1AA5"/>
    <w:rsid w:val="42AC7714"/>
    <w:rsid w:val="42C812AC"/>
    <w:rsid w:val="431F1DCE"/>
    <w:rsid w:val="43DE718B"/>
    <w:rsid w:val="43E26FD7"/>
    <w:rsid w:val="44230091"/>
    <w:rsid w:val="4432296D"/>
    <w:rsid w:val="44546D0D"/>
    <w:rsid w:val="44D648DA"/>
    <w:rsid w:val="44DE3AAD"/>
    <w:rsid w:val="45995715"/>
    <w:rsid w:val="4676240A"/>
    <w:rsid w:val="48102BF9"/>
    <w:rsid w:val="4A6A3171"/>
    <w:rsid w:val="4A735B6F"/>
    <w:rsid w:val="4B9519AF"/>
    <w:rsid w:val="4BD20EFC"/>
    <w:rsid w:val="4BF45399"/>
    <w:rsid w:val="4CD63AEE"/>
    <w:rsid w:val="4CDD2603"/>
    <w:rsid w:val="4D8069C7"/>
    <w:rsid w:val="4E313B75"/>
    <w:rsid w:val="4E4F1967"/>
    <w:rsid w:val="4E7E2024"/>
    <w:rsid w:val="4EAC3D58"/>
    <w:rsid w:val="4EEE751C"/>
    <w:rsid w:val="4F153535"/>
    <w:rsid w:val="4F7B7C8C"/>
    <w:rsid w:val="500A162A"/>
    <w:rsid w:val="5041514D"/>
    <w:rsid w:val="50783573"/>
    <w:rsid w:val="50B97264"/>
    <w:rsid w:val="50C6778E"/>
    <w:rsid w:val="51881AB3"/>
    <w:rsid w:val="51E1510C"/>
    <w:rsid w:val="52572FB9"/>
    <w:rsid w:val="526B27A2"/>
    <w:rsid w:val="528F19C6"/>
    <w:rsid w:val="52A05DC1"/>
    <w:rsid w:val="52D0416E"/>
    <w:rsid w:val="52DC6BD6"/>
    <w:rsid w:val="52EB062A"/>
    <w:rsid w:val="52ED7962"/>
    <w:rsid w:val="533A2403"/>
    <w:rsid w:val="5494289A"/>
    <w:rsid w:val="54A977C8"/>
    <w:rsid w:val="55306D65"/>
    <w:rsid w:val="55AA1E76"/>
    <w:rsid w:val="564B4853"/>
    <w:rsid w:val="569A22D3"/>
    <w:rsid w:val="573E2C43"/>
    <w:rsid w:val="57921934"/>
    <w:rsid w:val="5869754E"/>
    <w:rsid w:val="591E47BD"/>
    <w:rsid w:val="594A4ECB"/>
    <w:rsid w:val="59A4595A"/>
    <w:rsid w:val="5A8113C0"/>
    <w:rsid w:val="5AEC0865"/>
    <w:rsid w:val="5BA65FD3"/>
    <w:rsid w:val="5BD273E2"/>
    <w:rsid w:val="5C4E037B"/>
    <w:rsid w:val="5C705A65"/>
    <w:rsid w:val="5CA408A7"/>
    <w:rsid w:val="5CA9365B"/>
    <w:rsid w:val="5CC056E6"/>
    <w:rsid w:val="5CD00E93"/>
    <w:rsid w:val="5CEF01CD"/>
    <w:rsid w:val="5D7416F1"/>
    <w:rsid w:val="5E6A283C"/>
    <w:rsid w:val="5F61293D"/>
    <w:rsid w:val="60DA0BF8"/>
    <w:rsid w:val="61047A23"/>
    <w:rsid w:val="61677086"/>
    <w:rsid w:val="61B74A96"/>
    <w:rsid w:val="622704BF"/>
    <w:rsid w:val="624E3304"/>
    <w:rsid w:val="62A55A28"/>
    <w:rsid w:val="62C073FA"/>
    <w:rsid w:val="634E7E04"/>
    <w:rsid w:val="643957E9"/>
    <w:rsid w:val="645E4758"/>
    <w:rsid w:val="645E744B"/>
    <w:rsid w:val="65132B21"/>
    <w:rsid w:val="65193686"/>
    <w:rsid w:val="657C0CFB"/>
    <w:rsid w:val="65A7784B"/>
    <w:rsid w:val="6639016F"/>
    <w:rsid w:val="66BC030D"/>
    <w:rsid w:val="67606612"/>
    <w:rsid w:val="676B3F3A"/>
    <w:rsid w:val="67967D9C"/>
    <w:rsid w:val="684A2121"/>
    <w:rsid w:val="69823DE9"/>
    <w:rsid w:val="6A006A4B"/>
    <w:rsid w:val="6A185756"/>
    <w:rsid w:val="6A391A0E"/>
    <w:rsid w:val="6A7E68DD"/>
    <w:rsid w:val="6AD27755"/>
    <w:rsid w:val="6B0F0434"/>
    <w:rsid w:val="6B950950"/>
    <w:rsid w:val="6B956854"/>
    <w:rsid w:val="6BCE5B9A"/>
    <w:rsid w:val="6BDD6E03"/>
    <w:rsid w:val="6C370B95"/>
    <w:rsid w:val="6C3777EC"/>
    <w:rsid w:val="6C7A074E"/>
    <w:rsid w:val="6CD44EBF"/>
    <w:rsid w:val="6E597EC6"/>
    <w:rsid w:val="6FE32AAB"/>
    <w:rsid w:val="72754045"/>
    <w:rsid w:val="72BD47DA"/>
    <w:rsid w:val="73764465"/>
    <w:rsid w:val="73BF2FE8"/>
    <w:rsid w:val="73C03D0F"/>
    <w:rsid w:val="749F78AE"/>
    <w:rsid w:val="75130FA7"/>
    <w:rsid w:val="758B0767"/>
    <w:rsid w:val="75E0495C"/>
    <w:rsid w:val="76137332"/>
    <w:rsid w:val="76504D7D"/>
    <w:rsid w:val="775E2934"/>
    <w:rsid w:val="78102B7F"/>
    <w:rsid w:val="78B92CEC"/>
    <w:rsid w:val="78C9092E"/>
    <w:rsid w:val="78E75FCF"/>
    <w:rsid w:val="79C773E8"/>
    <w:rsid w:val="79D81F5D"/>
    <w:rsid w:val="7A30432F"/>
    <w:rsid w:val="7B2108BA"/>
    <w:rsid w:val="7BEB3A70"/>
    <w:rsid w:val="7C4022E8"/>
    <w:rsid w:val="7CF04373"/>
    <w:rsid w:val="7D0D0224"/>
    <w:rsid w:val="7D1E749A"/>
    <w:rsid w:val="7D4F1257"/>
    <w:rsid w:val="7DD37719"/>
    <w:rsid w:val="7E7D4D92"/>
    <w:rsid w:val="7EE924FA"/>
    <w:rsid w:val="7F095899"/>
    <w:rsid w:val="7F096FD2"/>
    <w:rsid w:val="7F8C36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napToGrid w:val="0"/>
      <w:jc w:val="left"/>
      <w:outlineLvl w:val="0"/>
    </w:pPr>
    <w:rPr>
      <w:rFonts w:eastAsia="仿宋_GB2312"/>
      <w:kern w:val="44"/>
      <w:sz w:val="32"/>
      <w:szCs w:val="32"/>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Cs w:val="22"/>
    </w:rPr>
  </w:style>
  <w:style w:type="paragraph" w:styleId="7">
    <w:name w:val="annotation text"/>
    <w:basedOn w:val="1"/>
    <w:link w:val="28"/>
    <w:qFormat/>
    <w:uiPriority w:val="0"/>
    <w:pPr>
      <w:spacing w:line="360" w:lineRule="auto"/>
      <w:ind w:firstLine="420"/>
      <w:jc w:val="left"/>
    </w:pPr>
    <w:rPr>
      <w:rFonts w:ascii="Times New Roman" w:hAnsi="Times New Roman" w:cs="Times New Roman"/>
      <w:sz w:val="28"/>
    </w:rPr>
  </w:style>
  <w:style w:type="paragraph" w:styleId="8">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Cs w:val="22"/>
    </w:rPr>
  </w:style>
  <w:style w:type="paragraph" w:styleId="9">
    <w:name w:val="toc 3"/>
    <w:basedOn w:val="1"/>
    <w:next w:val="1"/>
    <w:qFormat/>
    <w:uiPriority w:val="39"/>
    <w:pPr>
      <w:ind w:left="840" w:leftChars="400"/>
    </w:p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Cs w:val="22"/>
    </w:rPr>
  </w:style>
  <w:style w:type="paragraph" w:styleId="11">
    <w:name w:val="Balloon Text"/>
    <w:basedOn w:val="1"/>
    <w:link w:val="34"/>
    <w:qFormat/>
    <w:uiPriority w:val="0"/>
    <w:pPr>
      <w:spacing w:line="240" w:lineRule="auto"/>
    </w:pPr>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Cs w:val="22"/>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Cs w:val="22"/>
    </w:rPr>
  </w:style>
  <w:style w:type="paragraph" w:styleId="17">
    <w:name w:val="toc 2"/>
    <w:basedOn w:val="1"/>
    <w:next w:val="1"/>
    <w:qFormat/>
    <w:uiPriority w:val="39"/>
    <w:pPr>
      <w:ind w:left="420" w:leftChars="200"/>
    </w:pPr>
  </w:style>
  <w:style w:type="paragraph" w:styleId="1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Cs w:val="22"/>
    </w:rPr>
  </w:style>
  <w:style w:type="paragraph" w:styleId="19">
    <w:name w:val="Normal (Web)"/>
    <w:basedOn w:val="1"/>
    <w:qFormat/>
    <w:uiPriority w:val="99"/>
    <w:pPr>
      <w:spacing w:beforeAutospacing="1" w:afterAutospacing="1"/>
      <w:jc w:val="left"/>
    </w:pPr>
    <w:rPr>
      <w:kern w:val="0"/>
      <w:sz w:val="24"/>
    </w:rPr>
  </w:style>
  <w:style w:type="paragraph" w:styleId="20">
    <w:name w:val="Title"/>
    <w:basedOn w:val="1"/>
    <w:qFormat/>
    <w:uiPriority w:val="0"/>
    <w:pPr>
      <w:jc w:val="center"/>
      <w:outlineLvl w:val="0"/>
    </w:pPr>
    <w:rPr>
      <w:rFonts w:ascii="Arial" w:hAnsi="Arial"/>
      <w:b/>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nhideWhenUsed/>
    <w:qFormat/>
    <w:uiPriority w:val="99"/>
    <w:rPr>
      <w:color w:val="0000FF" w:themeColor="hyperlink"/>
      <w:u w:val="single"/>
      <w14:textFill>
        <w14:solidFill>
          <w14:schemeClr w14:val="hlink"/>
        </w14:solidFill>
      </w14:textFill>
    </w:rPr>
  </w:style>
  <w:style w:type="paragraph" w:customStyle="1" w:styleId="2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7">
    <w:name w:val="批注文字 Char"/>
    <w:link w:val="7"/>
    <w:qFormat/>
    <w:uiPriority w:val="0"/>
    <w:rPr>
      <w:kern w:val="2"/>
      <w:sz w:val="28"/>
      <w:szCs w:val="24"/>
    </w:rPr>
  </w:style>
  <w:style w:type="character" w:customStyle="1" w:styleId="28">
    <w:name w:val="批注文字 Char1"/>
    <w:basedOn w:val="23"/>
    <w:link w:val="7"/>
    <w:qFormat/>
    <w:uiPriority w:val="0"/>
    <w:rPr>
      <w:rFonts w:ascii="Calibri" w:hAnsi="Calibri" w:cs="宋体"/>
      <w:kern w:val="2"/>
      <w:sz w:val="21"/>
      <w:szCs w:val="24"/>
    </w:rPr>
  </w:style>
  <w:style w:type="paragraph" w:styleId="29">
    <w:name w:val="List Paragraph"/>
    <w:basedOn w:val="1"/>
    <w:unhideWhenUsed/>
    <w:qFormat/>
    <w:uiPriority w:val="99"/>
    <w:pPr>
      <w:ind w:firstLine="420"/>
    </w:pPr>
  </w:style>
  <w:style w:type="character" w:customStyle="1" w:styleId="30">
    <w:name w:val="font21"/>
    <w:basedOn w:val="23"/>
    <w:qFormat/>
    <w:uiPriority w:val="0"/>
    <w:rPr>
      <w:rFonts w:hint="eastAsia" w:ascii="宋体" w:hAnsi="宋体" w:eastAsia="宋体" w:cs="宋体"/>
      <w:color w:val="000000"/>
      <w:sz w:val="24"/>
      <w:szCs w:val="24"/>
      <w:u w:val="none"/>
    </w:rPr>
  </w:style>
  <w:style w:type="character" w:customStyle="1" w:styleId="31">
    <w:name w:val="font41"/>
    <w:basedOn w:val="23"/>
    <w:qFormat/>
    <w:uiPriority w:val="0"/>
    <w:rPr>
      <w:rFonts w:hint="eastAsia" w:ascii="宋体" w:hAnsi="宋体" w:eastAsia="宋体" w:cs="宋体"/>
      <w:color w:val="000000"/>
      <w:sz w:val="24"/>
      <w:szCs w:val="24"/>
      <w:u w:val="none"/>
      <w:vertAlign w:val="superscript"/>
    </w:rPr>
  </w:style>
  <w:style w:type="character" w:customStyle="1" w:styleId="32">
    <w:name w:val="font01"/>
    <w:basedOn w:val="23"/>
    <w:qFormat/>
    <w:uiPriority w:val="0"/>
    <w:rPr>
      <w:rFonts w:hint="eastAsia" w:ascii="宋体" w:hAnsi="宋体" w:eastAsia="宋体" w:cs="宋体"/>
      <w:color w:val="000000"/>
      <w:sz w:val="24"/>
      <w:szCs w:val="24"/>
      <w:u w:val="none"/>
      <w:vertAlign w:val="superscript"/>
    </w:rPr>
  </w:style>
  <w:style w:type="character" w:customStyle="1" w:styleId="33">
    <w:name w:val="font31"/>
    <w:basedOn w:val="23"/>
    <w:qFormat/>
    <w:uiPriority w:val="0"/>
    <w:rPr>
      <w:rFonts w:hint="eastAsia" w:ascii="宋体" w:hAnsi="宋体" w:eastAsia="宋体" w:cs="宋体"/>
      <w:color w:val="000000"/>
      <w:sz w:val="24"/>
      <w:szCs w:val="24"/>
      <w:u w:val="none"/>
    </w:rPr>
  </w:style>
  <w:style w:type="character" w:customStyle="1" w:styleId="34">
    <w:name w:val="批注框文本 Char"/>
    <w:basedOn w:val="23"/>
    <w:link w:val="11"/>
    <w:qFormat/>
    <w:uiPriority w:val="0"/>
    <w:rPr>
      <w:rFonts w:ascii="Calibri" w:hAnsi="Calibri" w:cs="宋体"/>
      <w:kern w:val="2"/>
      <w:sz w:val="18"/>
      <w:szCs w:val="18"/>
    </w:rPr>
  </w:style>
  <w:style w:type="paragraph" w:customStyle="1" w:styleId="35">
    <w:name w:val="TOC Heading"/>
    <w:basedOn w:val="2"/>
    <w:next w:val="1"/>
    <w:semiHidden/>
    <w:unhideWhenUsed/>
    <w:qFormat/>
    <w:uiPriority w:val="39"/>
    <w:pPr>
      <w:widowControl/>
      <w:snapToGrid/>
      <w:spacing w:before="480" w:line="276" w:lineRule="auto"/>
      <w:ind w:firstLine="0" w:firstLineChars="0"/>
      <w:outlineLvl w:val="9"/>
    </w:pPr>
    <w:rPr>
      <w:rFonts w:asciiTheme="majorHAnsi" w:hAnsiTheme="majorHAnsi" w:eastAsiaTheme="majorEastAsia" w:cstheme="majorBidi"/>
      <w:b/>
      <w:bCs/>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DB8FF9-4414-44FD-BBEF-3D33A8E92C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143</Pages>
  <Words>11147</Words>
  <Characters>11332</Characters>
  <Lines>526</Lines>
  <Paragraphs>148</Paragraphs>
  <TotalTime>51</TotalTime>
  <ScaleCrop>false</ScaleCrop>
  <LinksUpToDate>false</LinksUpToDate>
  <CharactersWithSpaces>11431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2022-06-28T03:25:00Z</dcterms:created>
  <dc:creator>见素而抱朴</dc:creator>
  <cp:lastModifiedBy>ōóǒò</cp:lastModifiedBy>
  <cp:lastPrinted>2025-05-22T06:36:00Z</cp:lastPrinted>
  <dcterms:modified xsi:type="dcterms:W3CDTF">2025-09-08T07:38:14Z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8D9C961C71044F05B8423DFB2570CC16_13</vt:lpwstr>
  </property>
  <property fmtid="{D5CDD505-2E9C-101B-9397-08002B2CF9AE}" pid="4" name="KSOTemplateDocerSaveRecord">
    <vt:lpwstr>eyJoZGlkIjoiNzgwMDdmZWVhY2Y1YjViNDE5MTI2MWI2ZDMxZGM1MDciLCJ1c2VySWQiOiIyNjkyMjM5NjYifQ==</vt:lpwstr>
  </property>
</Properties>
</file>