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克什克腾旗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社会救助领域基层政务公开标准目录</w:t>
      </w:r>
      <w:bookmarkEnd w:id="1"/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旗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克旗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8438B0"/>
    <w:rsid w:val="00E760AF"/>
    <w:rsid w:val="00FA002F"/>
    <w:rsid w:val="08220A70"/>
    <w:rsid w:val="10E1761C"/>
    <w:rsid w:val="1458094D"/>
    <w:rsid w:val="1CDD655E"/>
    <w:rsid w:val="2B4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914D-D594-4FD1-8852-2DBFD39F4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1775</Words>
  <Characters>1792</Characters>
  <Lines>53</Lines>
  <Paragraphs>15</Paragraphs>
  <TotalTime>1</TotalTime>
  <ScaleCrop>false</ScaleCrop>
  <LinksUpToDate>false</LinksUpToDate>
  <CharactersWithSpaces>7300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2020-03-06T06:51:00Z</dcterms:created>
  <dc:creator>tai yuzhu</dc:creator>
  <cp:lastModifiedBy>哈哈哈</cp:lastModifiedBy>
  <dcterms:modified xsi:type="dcterms:W3CDTF">2022-11-09T03:45:34Z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F5EFC8184A3E424BB10E181E93924369</vt:lpwstr>
  </property>
</Properties>
</file>