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C90CCD">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outlineLvl w:val="9"/>
        <w:rPr>
          <w:rFonts w:hint="eastAsia" w:ascii="方正小标宋简体" w:hAnsi="方正小标宋简体" w:eastAsia="方正小标宋简体" w:cs="方正小标宋简体"/>
          <w:sz w:val="44"/>
          <w:szCs w:val="44"/>
          <w:lang w:eastAsia="zh-CN"/>
        </w:rPr>
      </w:pPr>
    </w:p>
    <w:p w14:paraId="758AFFF2">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outlineLvl w:val="9"/>
        <w:rPr>
          <w:rFonts w:hint="eastAsia" w:ascii="方正小标宋简体" w:hAnsi="方正小标宋简体" w:eastAsia="方正小标宋简体" w:cs="方正小标宋简体"/>
          <w:sz w:val="44"/>
          <w:szCs w:val="44"/>
        </w:rPr>
      </w:pPr>
    </w:p>
    <w:p w14:paraId="4554367D">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outlineLvl w:val="9"/>
        <w:rPr>
          <w:rFonts w:hint="eastAsia" w:ascii="方正小标宋简体" w:hAnsi="方正小标宋简体" w:eastAsia="方正小标宋简体" w:cs="方正小标宋简体"/>
          <w:sz w:val="44"/>
          <w:szCs w:val="44"/>
        </w:rPr>
      </w:pPr>
    </w:p>
    <w:p w14:paraId="514C192D">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outlineLvl w:val="9"/>
        <w:rPr>
          <w:rFonts w:hint="eastAsia" w:ascii="方正小标宋简体" w:hAnsi="方正小标宋简体" w:eastAsia="方正小标宋简体" w:cs="方正小标宋简体"/>
          <w:sz w:val="44"/>
          <w:szCs w:val="44"/>
        </w:rPr>
      </w:pPr>
    </w:p>
    <w:p w14:paraId="3C690652">
      <w:pPr>
        <w:keepNext w:val="0"/>
        <w:keepLines w:val="0"/>
        <w:pageBreakBefore w:val="0"/>
        <w:widowControl w:val="0"/>
        <w:kinsoku/>
        <w:wordWrap/>
        <w:overflowPunct/>
        <w:topLinePunct w:val="0"/>
        <w:autoSpaceDE/>
        <w:autoSpaceDN/>
        <w:bidi w:val="0"/>
        <w:adjustRightInd/>
        <w:snapToGrid w:val="0"/>
        <w:spacing w:line="200" w:lineRule="exact"/>
        <w:jc w:val="center"/>
        <w:textAlignment w:val="auto"/>
        <w:outlineLvl w:val="9"/>
        <w:rPr>
          <w:rFonts w:hint="eastAsia" w:ascii="方正小标宋简体" w:hAnsi="方正小标宋简体" w:eastAsia="方正小标宋简体" w:cs="方正小标宋简体"/>
          <w:sz w:val="44"/>
          <w:szCs w:val="44"/>
        </w:rPr>
      </w:pPr>
    </w:p>
    <w:p w14:paraId="6E5B0F3D">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outlineLvl w:val="9"/>
        <w:rPr>
          <w:rFonts w:hint="eastAsia" w:ascii="方正小标宋简体" w:hAnsi="方正小标宋简体" w:eastAsia="方正小标宋简体" w:cs="方正小标宋简体"/>
          <w:sz w:val="44"/>
          <w:szCs w:val="44"/>
        </w:rPr>
      </w:pPr>
    </w:p>
    <w:p w14:paraId="5FE9CFC8">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outlineLvl w:val="9"/>
        <w:rPr>
          <w:rFonts w:hint="eastAsia" w:ascii="方正小标宋简体" w:hAnsi="方正小标宋简体" w:eastAsia="方正小标宋简体" w:cs="方正小标宋简体"/>
          <w:sz w:val="44"/>
          <w:szCs w:val="44"/>
        </w:rPr>
      </w:pPr>
    </w:p>
    <w:p w14:paraId="21325F52">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outlineLvl w:val="9"/>
        <w:rPr>
          <w:rFonts w:hint="eastAsia" w:ascii="方正小标宋简体" w:hAnsi="方正小标宋简体" w:eastAsia="方正小标宋简体" w:cs="方正小标宋简体"/>
          <w:sz w:val="44"/>
          <w:szCs w:val="44"/>
        </w:rPr>
      </w:pPr>
    </w:p>
    <w:p w14:paraId="7F7A6A2C">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outlineLvl w:val="9"/>
        <w:rPr>
          <w:rFonts w:hint="eastAsia" w:ascii="方正小标宋简体" w:hAnsi="方正小标宋简体" w:eastAsia="方正小标宋简体" w:cs="方正小标宋简体"/>
          <w:sz w:val="44"/>
          <w:szCs w:val="44"/>
        </w:rPr>
      </w:pPr>
    </w:p>
    <w:p w14:paraId="3E082C50">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outlineLvl w:val="9"/>
        <w:rPr>
          <w:rFonts w:hint="eastAsia" w:ascii="方正小标宋简体" w:hAnsi="方正小标宋简体" w:eastAsia="方正小标宋简体" w:cs="方正小标宋简体"/>
          <w:sz w:val="44"/>
          <w:szCs w:val="44"/>
        </w:rPr>
      </w:pPr>
    </w:p>
    <w:p w14:paraId="2A62D8FD">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仿宋_GB2312" w:hAnsi="宋体" w:eastAsia="仿宋_GB2312" w:cs="Times New Roman"/>
          <w:b w:val="0"/>
          <w:bCs w:val="0"/>
          <w:spacing w:val="0"/>
          <w:kern w:val="0"/>
          <w:sz w:val="32"/>
          <w:szCs w:val="32"/>
        </w:rPr>
      </w:pPr>
    </w:p>
    <w:p w14:paraId="182075FF">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44"/>
        </w:rPr>
      </w:pPr>
    </w:p>
    <w:p w14:paraId="500ED858">
      <w:pPr>
        <w:keepNext w:val="0"/>
        <w:keepLines w:val="0"/>
        <w:pageBreakBefore w:val="0"/>
        <w:widowControl w:val="0"/>
        <w:tabs>
          <w:tab w:val="left" w:pos="2899"/>
        </w:tabs>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克什克腾旗人民政府关于印发克什克腾旗政府领导挂牌包保煤矿、非煤矿山和尾</w:t>
      </w:r>
    </w:p>
    <w:p w14:paraId="01404030">
      <w:pPr>
        <w:keepNext w:val="0"/>
        <w:keepLines w:val="0"/>
        <w:pageBreakBefore w:val="0"/>
        <w:widowControl w:val="0"/>
        <w:tabs>
          <w:tab w:val="left" w:pos="2899"/>
        </w:tabs>
        <w:kinsoku/>
        <w:wordWrap/>
        <w:overflowPunct/>
        <w:topLinePunct w:val="0"/>
        <w:autoSpaceDE/>
        <w:autoSpaceDN/>
        <w:bidi w:val="0"/>
        <w:adjustRightInd/>
        <w:snapToGrid/>
        <w:spacing w:line="560" w:lineRule="exact"/>
        <w:jc w:val="center"/>
        <w:textAlignment w:val="auto"/>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矿库安全生产</w:t>
      </w:r>
      <w:bookmarkStart w:id="0" w:name="_GoBack"/>
      <w:bookmarkEnd w:id="0"/>
      <w:r>
        <w:rPr>
          <w:rFonts w:hint="eastAsia" w:ascii="方正小标宋简体" w:hAnsi="方正小标宋简体" w:eastAsia="方正小标宋简体" w:cs="方正小标宋简体"/>
          <w:sz w:val="44"/>
          <w:szCs w:val="44"/>
          <w:lang w:val="en-US" w:eastAsia="zh-CN"/>
        </w:rPr>
        <w:t>责任制的通知</w:t>
      </w:r>
    </w:p>
    <w:p w14:paraId="3F5AE0E7">
      <w:pPr>
        <w:keepNext w:val="0"/>
        <w:keepLines w:val="0"/>
        <w:pageBreakBefore w:val="0"/>
        <w:widowControl w:val="0"/>
        <w:tabs>
          <w:tab w:val="left" w:pos="2899"/>
        </w:tabs>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14:paraId="28C8B39E">
      <w:pPr>
        <w:keepNext w:val="0"/>
        <w:keepLines w:val="0"/>
        <w:pageBreakBefore w:val="0"/>
        <w:widowControl w:val="0"/>
        <w:tabs>
          <w:tab w:val="left" w:pos="2899"/>
        </w:tabs>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各苏木乡镇人民政府、各矿山企业：</w:t>
      </w:r>
    </w:p>
    <w:p w14:paraId="0B692B26">
      <w:pPr>
        <w:keepNext w:val="0"/>
        <w:keepLines w:val="0"/>
        <w:pageBreakBefore w:val="0"/>
        <w:widowControl w:val="0"/>
        <w:tabs>
          <w:tab w:val="left" w:pos="2899"/>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为认真贯彻落实党中央国务院《地方党政领导干部安全生产责任制规定》精神，依据《中华人民共和国安全生产法》、《中华人民共和国矿山安全法》、《内蒙古自治区安全生产条例》、《中共中央办公厅 国务院办公厅 关于进一步加强矿山安全生产工作的意见》、《国家矿山安全监察局关于进一步压实矿山安全监管监察责任切实消除监管盲区的通知》、《国家矿山安全监察局关于印发加强非煤矿山重点地区安全生产工作方案的通知》、《内蒙古自治区关于印发〈盟市、旗县政府领导挂牌包保煤矿、非煤矿山和尾矿库安全生产责任制规定〉的通知》等法律法规、文件要求，结合我旗实际，特制定本责任制，现就克什克腾旗政府领导挂牌包保煤矿、非煤矿山和尾矿库安全生产责任制有关事项通知如下：</w:t>
      </w:r>
    </w:p>
    <w:p w14:paraId="2C6E9C99">
      <w:pPr>
        <w:keepNext w:val="0"/>
        <w:keepLines w:val="0"/>
        <w:pageBreakBefore w:val="0"/>
        <w:widowControl w:val="0"/>
        <w:numPr>
          <w:ilvl w:val="0"/>
          <w:numId w:val="0"/>
        </w:numPr>
        <w:tabs>
          <w:tab w:val="left" w:pos="2899"/>
        </w:tabs>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一、包保范围</w:t>
      </w:r>
    </w:p>
    <w:p w14:paraId="5C2C49A0">
      <w:pPr>
        <w:keepNext w:val="0"/>
        <w:keepLines w:val="0"/>
        <w:pageBreakBefore w:val="0"/>
        <w:widowControl w:val="0"/>
        <w:numPr>
          <w:ilvl w:val="0"/>
          <w:numId w:val="0"/>
        </w:numPr>
        <w:tabs>
          <w:tab w:val="left" w:pos="2899"/>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全旗正常生产建设、停产停建的所有煤矿、金属非金属地下矿山、现状边坡高度150米非煤露天矿山和尾矿库企业。</w:t>
      </w:r>
    </w:p>
    <w:p w14:paraId="1243B2FC">
      <w:pPr>
        <w:keepNext w:val="0"/>
        <w:keepLines w:val="0"/>
        <w:pageBreakBefore w:val="0"/>
        <w:widowControl w:val="0"/>
        <w:numPr>
          <w:ilvl w:val="0"/>
          <w:numId w:val="0"/>
        </w:numPr>
        <w:tabs>
          <w:tab w:val="left" w:pos="2899"/>
        </w:tabs>
        <w:kinsoku/>
        <w:wordWrap/>
        <w:overflowPunct/>
        <w:topLinePunct w:val="0"/>
        <w:autoSpaceDE/>
        <w:autoSpaceDN/>
        <w:bidi w:val="0"/>
        <w:adjustRightInd/>
        <w:snapToGrid/>
        <w:spacing w:line="560" w:lineRule="exact"/>
        <w:ind w:firstLine="640" w:firstLineChars="200"/>
        <w:jc w:val="both"/>
        <w:textAlignment w:val="auto"/>
        <w:rPr>
          <w:rFonts w:hint="default"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二、包保责任人</w:t>
      </w:r>
    </w:p>
    <w:p w14:paraId="0FD67149">
      <w:pPr>
        <w:keepNext w:val="0"/>
        <w:keepLines w:val="0"/>
        <w:pageBreakBefore w:val="0"/>
        <w:widowControl w:val="0"/>
        <w:numPr>
          <w:ilvl w:val="0"/>
          <w:numId w:val="0"/>
        </w:numPr>
        <w:tabs>
          <w:tab w:val="left" w:pos="2899"/>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根据辖区内煤矿、金属非金属地下矿山、现状边坡高度150米非煤露天矿山和尾矿库的情况，明确每座煤矿、金属非金属地下矿山、现状边坡高度150米非煤露天矿山和尾矿库的安全生产包保责任人，统筹旗、乡（镇）两级人民政府领导对煤矿、金属非金属地下矿山、现状边坡高度150米非煤露天矿山和尾矿库履行安全生产包保责任，包保责任人包保的矿山企业数量原则上不超过12个（非煤矿山附属尾矿库不单计）。</w:t>
      </w:r>
    </w:p>
    <w:p w14:paraId="1BF99C11">
      <w:pPr>
        <w:keepNext w:val="0"/>
        <w:keepLines w:val="0"/>
        <w:pageBreakBefore w:val="0"/>
        <w:widowControl w:val="0"/>
        <w:numPr>
          <w:ilvl w:val="0"/>
          <w:numId w:val="0"/>
        </w:numPr>
        <w:tabs>
          <w:tab w:val="left" w:pos="2899"/>
        </w:tabs>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三、严格落实安全生产包保责任</w:t>
      </w:r>
    </w:p>
    <w:p w14:paraId="1468C1B5">
      <w:pPr>
        <w:keepNext w:val="0"/>
        <w:keepLines w:val="0"/>
        <w:pageBreakBefore w:val="0"/>
        <w:widowControl w:val="0"/>
        <w:numPr>
          <w:ilvl w:val="0"/>
          <w:numId w:val="0"/>
        </w:numPr>
        <w:tabs>
          <w:tab w:val="left" w:pos="2899"/>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负责包保的领导每季度要听取负责包保的矿山企业安全生产工作情况汇报，研究解决安全生产存在的相关问题；每年至少开展2次现场检查工作，每次从负责包保的矿山企业中随机抽取不少于2个进行现场检查，重点检查以下内容：</w:t>
      </w:r>
    </w:p>
    <w:p w14:paraId="080A0FB4">
      <w:pPr>
        <w:keepNext w:val="0"/>
        <w:keepLines w:val="0"/>
        <w:pageBreakBefore w:val="0"/>
        <w:widowControl w:val="0"/>
        <w:numPr>
          <w:ilvl w:val="0"/>
          <w:numId w:val="0"/>
        </w:numPr>
        <w:tabs>
          <w:tab w:val="left" w:pos="2899"/>
        </w:tabs>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1.正常生产建设煤矿、金属非金属地下矿山、现状边坡高度150米及以上非煤露天矿山</w:t>
      </w:r>
    </w:p>
    <w:p w14:paraId="0E5347F1">
      <w:pPr>
        <w:keepNext w:val="0"/>
        <w:keepLines w:val="0"/>
        <w:pageBreakBefore w:val="0"/>
        <w:widowControl w:val="0"/>
        <w:numPr>
          <w:ilvl w:val="0"/>
          <w:numId w:val="0"/>
        </w:numPr>
        <w:tabs>
          <w:tab w:val="left" w:pos="2899"/>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（1）矿井入井（坑）人员和井（坑）下作业场所的数量；</w:t>
      </w:r>
    </w:p>
    <w:p w14:paraId="45496CE4">
      <w:pPr>
        <w:keepNext w:val="0"/>
        <w:keepLines w:val="0"/>
        <w:pageBreakBefore w:val="0"/>
        <w:widowControl w:val="0"/>
        <w:numPr>
          <w:ilvl w:val="0"/>
          <w:numId w:val="0"/>
        </w:numPr>
        <w:tabs>
          <w:tab w:val="left" w:pos="2899"/>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（2）矿山注册安全工程师、安全管理机构、人员设置配置情况，民爆物品存储设施是否存在安全风险、是否构成重大危险源，设备工艺是否存在风险；</w:t>
      </w:r>
    </w:p>
    <w:p w14:paraId="58C877FA">
      <w:pPr>
        <w:keepNext w:val="0"/>
        <w:keepLines w:val="0"/>
        <w:pageBreakBefore w:val="0"/>
        <w:widowControl w:val="0"/>
        <w:numPr>
          <w:ilvl w:val="0"/>
          <w:numId w:val="0"/>
        </w:numPr>
        <w:tabs>
          <w:tab w:val="left" w:pos="2899"/>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（3）矿井各主井口、副井口、风井口、矿石堆放场（含储煤场）、露天矿山监控视频安设及使用情况</w:t>
      </w:r>
    </w:p>
    <w:p w14:paraId="51924C7F">
      <w:pPr>
        <w:keepNext w:val="0"/>
        <w:keepLines w:val="0"/>
        <w:pageBreakBefore w:val="0"/>
        <w:widowControl w:val="0"/>
        <w:numPr>
          <w:ilvl w:val="0"/>
          <w:numId w:val="0"/>
        </w:numPr>
        <w:tabs>
          <w:tab w:val="left" w:pos="2899"/>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（4）入井人员登记情况，并与矿灯发放记录、人员位置监测系统交叉数据对比；</w:t>
      </w:r>
    </w:p>
    <w:p w14:paraId="15A92B43">
      <w:pPr>
        <w:keepNext w:val="0"/>
        <w:keepLines w:val="0"/>
        <w:pageBreakBefore w:val="0"/>
        <w:widowControl w:val="0"/>
        <w:numPr>
          <w:ilvl w:val="0"/>
          <w:numId w:val="0"/>
        </w:numPr>
        <w:tabs>
          <w:tab w:val="left" w:pos="2899"/>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（5）矿山企业领导值班值守、带班下井、在岗履职情况；</w:t>
      </w:r>
    </w:p>
    <w:p w14:paraId="5D06B0B4">
      <w:pPr>
        <w:keepNext w:val="0"/>
        <w:keepLines w:val="0"/>
        <w:pageBreakBefore w:val="0"/>
        <w:widowControl w:val="0"/>
        <w:numPr>
          <w:ilvl w:val="0"/>
          <w:numId w:val="0"/>
        </w:numPr>
        <w:tabs>
          <w:tab w:val="left" w:pos="2899"/>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（6）安全监控系统运行及数据上传情况。</w:t>
      </w:r>
    </w:p>
    <w:p w14:paraId="370BB85A">
      <w:pPr>
        <w:keepNext w:val="0"/>
        <w:keepLines w:val="0"/>
        <w:pageBreakBefore w:val="0"/>
        <w:widowControl w:val="0"/>
        <w:numPr>
          <w:ilvl w:val="0"/>
          <w:numId w:val="0"/>
        </w:numPr>
        <w:tabs>
          <w:tab w:val="left" w:pos="2899"/>
        </w:tabs>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2.长期停产停建煤矿、金属非金属地下矿山、现状边坡高度150米及以上非煤露天矿山</w:t>
      </w:r>
    </w:p>
    <w:p w14:paraId="2F311735">
      <w:pPr>
        <w:keepNext w:val="0"/>
        <w:keepLines w:val="0"/>
        <w:pageBreakBefore w:val="0"/>
        <w:widowControl w:val="0"/>
        <w:numPr>
          <w:ilvl w:val="0"/>
          <w:numId w:val="0"/>
        </w:numPr>
        <w:tabs>
          <w:tab w:val="left" w:pos="2899"/>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（1）停供电情况；</w:t>
      </w:r>
    </w:p>
    <w:p w14:paraId="1F178618">
      <w:pPr>
        <w:keepNext w:val="0"/>
        <w:keepLines w:val="0"/>
        <w:pageBreakBefore w:val="0"/>
        <w:widowControl w:val="0"/>
        <w:numPr>
          <w:ilvl w:val="0"/>
          <w:numId w:val="0"/>
        </w:numPr>
        <w:tabs>
          <w:tab w:val="left" w:pos="2899"/>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（2）停供矿山民爆物品情况；</w:t>
      </w:r>
    </w:p>
    <w:p w14:paraId="3C828D55">
      <w:pPr>
        <w:keepNext w:val="0"/>
        <w:keepLines w:val="0"/>
        <w:pageBreakBefore w:val="0"/>
        <w:widowControl w:val="0"/>
        <w:numPr>
          <w:ilvl w:val="0"/>
          <w:numId w:val="0"/>
        </w:numPr>
        <w:tabs>
          <w:tab w:val="left" w:pos="2899"/>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（3）井口封闭管理情况；</w:t>
      </w:r>
    </w:p>
    <w:p w14:paraId="29624FC5">
      <w:pPr>
        <w:keepNext w:val="0"/>
        <w:keepLines w:val="0"/>
        <w:pageBreakBefore w:val="0"/>
        <w:widowControl w:val="0"/>
        <w:numPr>
          <w:ilvl w:val="0"/>
          <w:numId w:val="0"/>
        </w:numPr>
        <w:tabs>
          <w:tab w:val="left" w:pos="2899"/>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（4）煤矿“电子封条”安设运行情况。</w:t>
      </w:r>
    </w:p>
    <w:p w14:paraId="2625B19E">
      <w:pPr>
        <w:keepNext w:val="0"/>
        <w:keepLines w:val="0"/>
        <w:pageBreakBefore w:val="0"/>
        <w:widowControl w:val="0"/>
        <w:numPr>
          <w:ilvl w:val="0"/>
          <w:numId w:val="0"/>
        </w:numPr>
        <w:tabs>
          <w:tab w:val="left" w:pos="2899"/>
        </w:tabs>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3.正常生产建设尾矿库</w:t>
      </w:r>
    </w:p>
    <w:p w14:paraId="6A8208A3">
      <w:pPr>
        <w:keepNext w:val="0"/>
        <w:keepLines w:val="0"/>
        <w:pageBreakBefore w:val="0"/>
        <w:widowControl w:val="0"/>
        <w:numPr>
          <w:ilvl w:val="0"/>
          <w:numId w:val="0"/>
        </w:numPr>
        <w:tabs>
          <w:tab w:val="left" w:pos="2899"/>
        </w:tabs>
        <w:kinsoku/>
        <w:wordWrap/>
        <w:overflowPunct/>
        <w:topLinePunct w:val="0"/>
        <w:autoSpaceDE/>
        <w:autoSpaceDN/>
        <w:bidi w:val="0"/>
        <w:adjustRightInd/>
        <w:snapToGrid/>
        <w:spacing w:line="560" w:lineRule="exact"/>
        <w:ind w:firstLine="640" w:firstLineChars="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（1）年度尾矿排放计划和组织生产运行情况；</w:t>
      </w:r>
    </w:p>
    <w:p w14:paraId="09626B3C">
      <w:pPr>
        <w:keepNext w:val="0"/>
        <w:keepLines w:val="0"/>
        <w:pageBreakBefore w:val="0"/>
        <w:widowControl w:val="0"/>
        <w:numPr>
          <w:ilvl w:val="0"/>
          <w:numId w:val="0"/>
        </w:numPr>
        <w:tabs>
          <w:tab w:val="left" w:pos="2899"/>
        </w:tabs>
        <w:kinsoku/>
        <w:wordWrap/>
        <w:overflowPunct/>
        <w:topLinePunct w:val="0"/>
        <w:autoSpaceDE/>
        <w:autoSpaceDN/>
        <w:bidi w:val="0"/>
        <w:adjustRightInd/>
        <w:snapToGrid/>
        <w:spacing w:line="560" w:lineRule="exact"/>
        <w:ind w:firstLine="640" w:firstLineChars="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（2）尾矿工特种作业资格证持证情况；</w:t>
      </w:r>
    </w:p>
    <w:p w14:paraId="3FBAB606">
      <w:pPr>
        <w:keepNext w:val="0"/>
        <w:keepLines w:val="0"/>
        <w:pageBreakBefore w:val="0"/>
        <w:widowControl w:val="0"/>
        <w:numPr>
          <w:ilvl w:val="0"/>
          <w:numId w:val="0"/>
        </w:numPr>
        <w:tabs>
          <w:tab w:val="left" w:pos="2899"/>
        </w:tabs>
        <w:kinsoku/>
        <w:wordWrap/>
        <w:overflowPunct/>
        <w:topLinePunct w:val="0"/>
        <w:autoSpaceDE/>
        <w:autoSpaceDN/>
        <w:bidi w:val="0"/>
        <w:adjustRightInd/>
        <w:snapToGrid/>
        <w:spacing w:line="560" w:lineRule="exact"/>
        <w:ind w:firstLine="640" w:firstLineChars="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（3）在线安全监测监控设施安设及运行情况；</w:t>
      </w:r>
    </w:p>
    <w:p w14:paraId="18B6E81C">
      <w:pPr>
        <w:keepNext w:val="0"/>
        <w:keepLines w:val="0"/>
        <w:pageBreakBefore w:val="0"/>
        <w:widowControl w:val="0"/>
        <w:numPr>
          <w:ilvl w:val="0"/>
          <w:numId w:val="0"/>
        </w:numPr>
        <w:tabs>
          <w:tab w:val="left" w:pos="2899"/>
        </w:tabs>
        <w:kinsoku/>
        <w:wordWrap/>
        <w:overflowPunct/>
        <w:topLinePunct w:val="0"/>
        <w:autoSpaceDE/>
        <w:autoSpaceDN/>
        <w:bidi w:val="0"/>
        <w:adjustRightInd/>
        <w:snapToGrid/>
        <w:spacing w:line="560" w:lineRule="exact"/>
        <w:ind w:firstLine="640" w:firstLineChars="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（4）是否进行汛前调洪演算，是否开展坝体稳定性分析，是否组建汛期24小时专人盯守工作专班；</w:t>
      </w:r>
    </w:p>
    <w:p w14:paraId="2203CCB4">
      <w:pPr>
        <w:keepNext w:val="0"/>
        <w:keepLines w:val="0"/>
        <w:pageBreakBefore w:val="0"/>
        <w:widowControl w:val="0"/>
        <w:numPr>
          <w:ilvl w:val="0"/>
          <w:numId w:val="0"/>
        </w:numPr>
        <w:tabs>
          <w:tab w:val="left" w:pos="2899"/>
        </w:tabs>
        <w:kinsoku/>
        <w:wordWrap/>
        <w:overflowPunct/>
        <w:topLinePunct w:val="0"/>
        <w:autoSpaceDE/>
        <w:autoSpaceDN/>
        <w:bidi w:val="0"/>
        <w:adjustRightInd/>
        <w:snapToGrid/>
        <w:spacing w:line="560" w:lineRule="exact"/>
        <w:ind w:firstLine="640" w:firstLineChars="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（5）是否编制防汛应急预案，是否开展汛期应急预案演练。</w:t>
      </w:r>
    </w:p>
    <w:p w14:paraId="17F0B749">
      <w:pPr>
        <w:keepNext w:val="0"/>
        <w:keepLines w:val="0"/>
        <w:pageBreakBefore w:val="0"/>
        <w:widowControl w:val="0"/>
        <w:numPr>
          <w:ilvl w:val="0"/>
          <w:numId w:val="0"/>
        </w:numPr>
        <w:tabs>
          <w:tab w:val="left" w:pos="2899"/>
        </w:tabs>
        <w:kinsoku/>
        <w:wordWrap/>
        <w:overflowPunct/>
        <w:topLinePunct w:val="0"/>
        <w:autoSpaceDE/>
        <w:autoSpaceDN/>
        <w:bidi w:val="0"/>
        <w:adjustRightInd/>
        <w:snapToGrid/>
        <w:spacing w:line="560" w:lineRule="exact"/>
        <w:ind w:firstLine="640" w:firstLineChars="0"/>
        <w:jc w:val="both"/>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4.长期停产停建尾矿库</w:t>
      </w:r>
    </w:p>
    <w:p w14:paraId="16632C15">
      <w:pPr>
        <w:keepNext w:val="0"/>
        <w:keepLines w:val="0"/>
        <w:pageBreakBefore w:val="0"/>
        <w:widowControl w:val="0"/>
        <w:numPr>
          <w:ilvl w:val="0"/>
          <w:numId w:val="0"/>
        </w:numPr>
        <w:tabs>
          <w:tab w:val="left" w:pos="2899"/>
        </w:tabs>
        <w:kinsoku/>
        <w:wordWrap/>
        <w:overflowPunct/>
        <w:topLinePunct w:val="0"/>
        <w:autoSpaceDE/>
        <w:autoSpaceDN/>
        <w:bidi w:val="0"/>
        <w:adjustRightInd/>
        <w:snapToGrid/>
        <w:spacing w:line="560" w:lineRule="exact"/>
        <w:ind w:firstLine="640" w:firstLineChars="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（1）是否排干库内积水；</w:t>
      </w:r>
    </w:p>
    <w:p w14:paraId="5C5775EC">
      <w:pPr>
        <w:keepNext w:val="0"/>
        <w:keepLines w:val="0"/>
        <w:pageBreakBefore w:val="0"/>
        <w:widowControl w:val="0"/>
        <w:numPr>
          <w:ilvl w:val="0"/>
          <w:numId w:val="0"/>
        </w:numPr>
        <w:tabs>
          <w:tab w:val="left" w:pos="2899"/>
        </w:tabs>
        <w:kinsoku/>
        <w:wordWrap/>
        <w:overflowPunct/>
        <w:topLinePunct w:val="0"/>
        <w:autoSpaceDE/>
        <w:autoSpaceDN/>
        <w:bidi w:val="0"/>
        <w:adjustRightInd/>
        <w:snapToGrid/>
        <w:spacing w:line="560" w:lineRule="exact"/>
        <w:ind w:firstLine="640" w:firstLineChars="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（2）在线安全监测监控设施安设及运行情况。</w:t>
      </w:r>
    </w:p>
    <w:p w14:paraId="69B054A8">
      <w:pPr>
        <w:keepNext w:val="0"/>
        <w:keepLines w:val="0"/>
        <w:pageBreakBefore w:val="0"/>
        <w:widowControl w:val="0"/>
        <w:numPr>
          <w:ilvl w:val="0"/>
          <w:numId w:val="0"/>
        </w:numPr>
        <w:tabs>
          <w:tab w:val="left" w:pos="2899"/>
        </w:tabs>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四、强化信息公告</w:t>
      </w:r>
    </w:p>
    <w:p w14:paraId="2D78AB67">
      <w:pPr>
        <w:keepNext w:val="0"/>
        <w:keepLines w:val="0"/>
        <w:pageBreakBefore w:val="0"/>
        <w:widowControl w:val="0"/>
        <w:numPr>
          <w:ilvl w:val="0"/>
          <w:numId w:val="0"/>
        </w:numPr>
        <w:tabs>
          <w:tab w:val="left" w:pos="2899"/>
        </w:tabs>
        <w:kinsoku/>
        <w:wordWrap/>
        <w:overflowPunct/>
        <w:topLinePunct w:val="0"/>
        <w:autoSpaceDE/>
        <w:autoSpaceDN/>
        <w:bidi w:val="0"/>
        <w:adjustRightInd/>
        <w:snapToGrid/>
        <w:spacing w:line="560" w:lineRule="exact"/>
        <w:ind w:firstLine="640" w:firstLineChars="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包保责任人因工作岗位岗位调整等原因需要调整的，及时报送旗安委办，由旗安委办及时进行调整</w:t>
      </w:r>
      <w:r>
        <w:rPr>
          <w:rFonts w:hint="eastAsia" w:ascii="楷体_GB2312" w:hAnsi="楷体_GB2312" w:eastAsia="楷体_GB2312" w:cs="楷体_GB2312"/>
          <w:kern w:val="2"/>
          <w:sz w:val="32"/>
          <w:szCs w:val="32"/>
          <w:lang w:val="en-US" w:eastAsia="zh-CN" w:bidi="ar-SA"/>
        </w:rPr>
        <w:t>（调整期间按照新任职职务所属安全生产包保领导职务的姓名执行）</w:t>
      </w:r>
      <w:r>
        <w:rPr>
          <w:rFonts w:hint="eastAsia" w:ascii="仿宋_GB2312" w:hAnsi="仿宋_GB2312" w:eastAsia="仿宋_GB2312" w:cs="仿宋_GB2312"/>
          <w:kern w:val="2"/>
          <w:sz w:val="32"/>
          <w:szCs w:val="32"/>
          <w:lang w:val="en-US" w:eastAsia="zh-CN" w:bidi="ar-SA"/>
        </w:rPr>
        <w:t>，每半年在克什克腾旗人民政府网站对金属非金属地下矿山、尾矿包保责任人进行公示，并动态更新。</w:t>
      </w:r>
    </w:p>
    <w:p w14:paraId="2695B510">
      <w:pPr>
        <w:keepNext w:val="0"/>
        <w:keepLines w:val="0"/>
        <w:pageBreakBefore w:val="0"/>
        <w:widowControl w:val="0"/>
        <w:numPr>
          <w:ilvl w:val="0"/>
          <w:numId w:val="0"/>
        </w:numPr>
        <w:tabs>
          <w:tab w:val="left" w:pos="2899"/>
        </w:tabs>
        <w:kinsoku/>
        <w:wordWrap/>
        <w:overflowPunct/>
        <w:topLinePunct w:val="0"/>
        <w:autoSpaceDE/>
        <w:autoSpaceDN/>
        <w:bidi w:val="0"/>
        <w:adjustRightInd/>
        <w:snapToGrid/>
        <w:spacing w:line="560" w:lineRule="exact"/>
        <w:ind w:firstLine="640" w:firstLineChars="0"/>
        <w:jc w:val="both"/>
        <w:textAlignment w:val="auto"/>
        <w:rPr>
          <w:rFonts w:hint="eastAsia" w:ascii="仿宋_GB2312" w:hAnsi="仿宋_GB2312" w:eastAsia="仿宋_GB2312" w:cs="仿宋_GB2312"/>
          <w:kern w:val="2"/>
          <w:sz w:val="32"/>
          <w:szCs w:val="32"/>
          <w:lang w:val="en-US" w:eastAsia="zh-CN" w:bidi="ar-SA"/>
        </w:rPr>
      </w:pPr>
    </w:p>
    <w:p w14:paraId="6AF1A9AE">
      <w:pPr>
        <w:keepNext w:val="0"/>
        <w:keepLines w:val="0"/>
        <w:pageBreakBefore w:val="0"/>
        <w:widowControl w:val="0"/>
        <w:numPr>
          <w:ilvl w:val="0"/>
          <w:numId w:val="0"/>
        </w:numPr>
        <w:tabs>
          <w:tab w:val="left" w:pos="2899"/>
        </w:tabs>
        <w:kinsoku/>
        <w:wordWrap/>
        <w:overflowPunct/>
        <w:topLinePunct w:val="0"/>
        <w:autoSpaceDE/>
        <w:autoSpaceDN/>
        <w:bidi w:val="0"/>
        <w:adjustRightInd/>
        <w:snapToGrid/>
        <w:spacing w:line="560" w:lineRule="exact"/>
        <w:ind w:firstLine="640" w:firstLineChars="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附件：克什克腾旗矿山包保责任清单</w:t>
      </w:r>
    </w:p>
    <w:p w14:paraId="37F83CC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lang w:val="en-US" w:eastAsia="zh-CN"/>
        </w:rPr>
      </w:pPr>
    </w:p>
    <w:p w14:paraId="0CD763C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lang w:val="en-US" w:eastAsia="zh-CN"/>
        </w:rPr>
      </w:pPr>
    </w:p>
    <w:p w14:paraId="2E11D4AB">
      <w:pPr>
        <w:ind w:firstLine="640" w:firstLineChars="200"/>
        <w:jc w:val="left"/>
        <w:rPr>
          <w:rFonts w:hint="eastAsia" w:ascii="仿宋_GB2312" w:eastAsia="仿宋_GB2312"/>
          <w:color w:val="auto"/>
          <w:sz w:val="32"/>
          <w:szCs w:val="32"/>
          <w:lang w:val="en-US" w:eastAsia="zh-CN"/>
        </w:rPr>
      </w:pPr>
      <w:r>
        <w:rPr>
          <w:rFonts w:hint="eastAsia" w:ascii="仿宋_GB2312" w:eastAsia="仿宋_GB2312"/>
          <w:sz w:val="32"/>
          <w:szCs w:val="32"/>
          <w:lang w:val="en-US" w:eastAsia="zh-CN"/>
        </w:rPr>
        <w:t xml:space="preserve">                        2026年</w:t>
      </w:r>
      <w:r>
        <w:rPr>
          <w:rFonts w:hint="eastAsia" w:ascii="仿宋_GB2312" w:eastAsia="仿宋_GB2312"/>
          <w:color w:val="auto"/>
          <w:sz w:val="32"/>
          <w:szCs w:val="32"/>
          <w:lang w:val="en-US" w:eastAsia="zh-CN"/>
        </w:rPr>
        <w:t xml:space="preserve">XX月XX日 </w:t>
      </w:r>
    </w:p>
    <w:p w14:paraId="520298F9">
      <w:pPr>
        <w:keepNext w:val="0"/>
        <w:keepLines w:val="0"/>
        <w:pageBreakBefore w:val="0"/>
        <w:widowControl w:val="0"/>
        <w:numPr>
          <w:ilvl w:val="0"/>
          <w:numId w:val="0"/>
        </w:numPr>
        <w:tabs>
          <w:tab w:val="left" w:pos="2899"/>
        </w:tabs>
        <w:kinsoku/>
        <w:wordWrap/>
        <w:overflowPunct/>
        <w:topLinePunct w:val="0"/>
        <w:autoSpaceDE/>
        <w:autoSpaceDN/>
        <w:bidi w:val="0"/>
        <w:adjustRightInd/>
        <w:snapToGrid/>
        <w:spacing w:line="600" w:lineRule="exact"/>
        <w:ind w:firstLine="640" w:firstLineChars="0"/>
        <w:jc w:val="both"/>
        <w:textAlignment w:val="auto"/>
        <w:rPr>
          <w:rFonts w:hint="eastAsia" w:ascii="仿宋_GB2312" w:hAnsi="仿宋_GB2312" w:eastAsia="仿宋_GB2312" w:cs="仿宋_GB2312"/>
          <w:kern w:val="2"/>
          <w:sz w:val="32"/>
          <w:szCs w:val="32"/>
          <w:lang w:val="en-US" w:eastAsia="zh-CN" w:bidi="ar-SA"/>
        </w:rPr>
      </w:pPr>
    </w:p>
    <w:p w14:paraId="19B79D47">
      <w:pPr>
        <w:keepNext w:val="0"/>
        <w:keepLines w:val="0"/>
        <w:pageBreakBefore w:val="0"/>
        <w:widowControl w:val="0"/>
        <w:numPr>
          <w:ilvl w:val="0"/>
          <w:numId w:val="0"/>
        </w:numPr>
        <w:tabs>
          <w:tab w:val="left" w:pos="2899"/>
        </w:tabs>
        <w:kinsoku/>
        <w:wordWrap/>
        <w:overflowPunct/>
        <w:topLinePunct w:val="0"/>
        <w:autoSpaceDE/>
        <w:autoSpaceDN/>
        <w:bidi w:val="0"/>
        <w:adjustRightInd/>
        <w:snapToGrid/>
        <w:spacing w:line="600" w:lineRule="exact"/>
        <w:ind w:firstLine="640" w:firstLineChars="0"/>
        <w:jc w:val="both"/>
        <w:textAlignment w:val="auto"/>
        <w:rPr>
          <w:rFonts w:hint="eastAsia" w:ascii="仿宋_GB2312" w:hAnsi="仿宋_GB2312" w:eastAsia="仿宋_GB2312" w:cs="仿宋_GB2312"/>
          <w:kern w:val="2"/>
          <w:sz w:val="32"/>
          <w:szCs w:val="32"/>
          <w:lang w:val="en-US" w:eastAsia="zh-CN" w:bidi="ar-SA"/>
        </w:rPr>
      </w:pPr>
    </w:p>
    <w:p w14:paraId="708773F0">
      <w:pPr>
        <w:keepNext w:val="0"/>
        <w:keepLines w:val="0"/>
        <w:pageBreakBefore w:val="0"/>
        <w:widowControl w:val="0"/>
        <w:numPr>
          <w:ilvl w:val="0"/>
          <w:numId w:val="0"/>
        </w:numPr>
        <w:tabs>
          <w:tab w:val="left" w:pos="2899"/>
        </w:tabs>
        <w:kinsoku/>
        <w:wordWrap/>
        <w:overflowPunct/>
        <w:topLinePunct w:val="0"/>
        <w:autoSpaceDE/>
        <w:autoSpaceDN/>
        <w:bidi w:val="0"/>
        <w:adjustRightInd/>
        <w:snapToGrid/>
        <w:spacing w:line="600" w:lineRule="exact"/>
        <w:ind w:firstLine="640" w:firstLineChars="0"/>
        <w:jc w:val="both"/>
        <w:textAlignment w:val="auto"/>
        <w:rPr>
          <w:rFonts w:hint="eastAsia" w:ascii="仿宋_GB2312" w:hAnsi="仿宋_GB2312" w:eastAsia="仿宋_GB2312" w:cs="仿宋_GB2312"/>
          <w:kern w:val="2"/>
          <w:sz w:val="32"/>
          <w:szCs w:val="32"/>
          <w:lang w:val="en-US" w:eastAsia="zh-CN" w:bidi="ar-SA"/>
        </w:rPr>
      </w:pPr>
    </w:p>
    <w:p w14:paraId="5318F787">
      <w:pPr>
        <w:keepNext w:val="0"/>
        <w:keepLines w:val="0"/>
        <w:pageBreakBefore w:val="0"/>
        <w:widowControl w:val="0"/>
        <w:numPr>
          <w:ilvl w:val="0"/>
          <w:numId w:val="0"/>
        </w:numPr>
        <w:tabs>
          <w:tab w:val="left" w:pos="2899"/>
        </w:tabs>
        <w:kinsoku/>
        <w:wordWrap/>
        <w:overflowPunct/>
        <w:topLinePunct w:val="0"/>
        <w:autoSpaceDE/>
        <w:autoSpaceDN/>
        <w:bidi w:val="0"/>
        <w:adjustRightInd/>
        <w:snapToGrid/>
        <w:spacing w:line="600" w:lineRule="exact"/>
        <w:ind w:firstLine="640" w:firstLineChars="0"/>
        <w:jc w:val="both"/>
        <w:textAlignment w:val="auto"/>
        <w:rPr>
          <w:rFonts w:hint="eastAsia" w:ascii="仿宋_GB2312" w:hAnsi="仿宋_GB2312" w:eastAsia="仿宋_GB2312" w:cs="仿宋_GB2312"/>
          <w:kern w:val="2"/>
          <w:sz w:val="32"/>
          <w:szCs w:val="32"/>
          <w:lang w:val="en-US" w:eastAsia="zh-CN" w:bidi="ar-SA"/>
        </w:rPr>
      </w:pPr>
    </w:p>
    <w:p w14:paraId="24F71EB7">
      <w:pPr>
        <w:keepNext w:val="0"/>
        <w:keepLines w:val="0"/>
        <w:pageBreakBefore w:val="0"/>
        <w:widowControl w:val="0"/>
        <w:numPr>
          <w:ilvl w:val="0"/>
          <w:numId w:val="0"/>
        </w:numPr>
        <w:tabs>
          <w:tab w:val="left" w:pos="2899"/>
        </w:tabs>
        <w:kinsoku/>
        <w:wordWrap/>
        <w:overflowPunct/>
        <w:topLinePunct w:val="0"/>
        <w:autoSpaceDE/>
        <w:autoSpaceDN/>
        <w:bidi w:val="0"/>
        <w:adjustRightInd/>
        <w:snapToGrid/>
        <w:spacing w:line="600" w:lineRule="exact"/>
        <w:ind w:firstLine="640" w:firstLineChars="0"/>
        <w:jc w:val="both"/>
        <w:textAlignment w:val="auto"/>
        <w:rPr>
          <w:rFonts w:hint="default" w:ascii="仿宋_GB2312" w:hAnsi="仿宋_GB2312" w:eastAsia="仿宋_GB2312" w:cs="仿宋_GB2312"/>
          <w:kern w:val="2"/>
          <w:sz w:val="32"/>
          <w:szCs w:val="32"/>
          <w:lang w:val="en-US" w:eastAsia="zh-CN" w:bidi="ar-SA"/>
        </w:rPr>
      </w:pPr>
    </w:p>
    <w:p w14:paraId="5906EB4C">
      <w:pPr>
        <w:keepNext w:val="0"/>
        <w:keepLines w:val="0"/>
        <w:pageBreakBefore w:val="0"/>
        <w:widowControl w:val="0"/>
        <w:kinsoku/>
        <w:wordWrap/>
        <w:overflowPunct/>
        <w:topLinePunct w:val="0"/>
        <w:autoSpaceDE/>
        <w:autoSpaceDN/>
        <w:bidi w:val="0"/>
        <w:adjustRightInd/>
        <w:snapToGrid/>
        <w:spacing w:line="640" w:lineRule="exact"/>
        <w:jc w:val="both"/>
        <w:textAlignment w:val="auto"/>
        <w:outlineLvl w:val="9"/>
        <w:rPr>
          <w:rFonts w:hint="default" w:ascii="仿宋" w:hAnsi="仿宋" w:eastAsia="仿宋" w:cs="仿宋"/>
          <w:b w:val="0"/>
          <w:bCs w:val="0"/>
          <w:color w:val="auto"/>
          <w:sz w:val="32"/>
          <w:szCs w:val="32"/>
          <w:lang w:val="en-US" w:eastAsia="zh-CN"/>
        </w:rPr>
      </w:pPr>
    </w:p>
    <w:sectPr>
      <w:footerReference r:id="rId3" w:type="default"/>
      <w:pgSz w:w="11906" w:h="16838"/>
      <w:pgMar w:top="1440" w:right="1797" w:bottom="1247" w:left="179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D284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30423F79">
                          <w:pPr>
                            <w:pStyle w:val="2"/>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ziH4F5wEAAMcD&#10;AAAOAAAAAAAAAAEAIAAAAB4BAABkcnMvZTJvRG9jLnhtbFBLBQYAAAAABgAGAFkBAAB3BQAAAAA=&#10;">
              <v:fill on="f" focussize="0,0"/>
              <v:stroke on="f"/>
              <v:imagedata o:title=""/>
              <o:lock v:ext="edit" aspectratio="f"/>
              <v:textbox inset="0mm,0mm,0mm,0mm" style="mso-fit-shape-to-text:t;">
                <w:txbxContent>
                  <w:p w14:paraId="30423F79">
                    <w:pPr>
                      <w:pStyle w:val="2"/>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D7F"/>
    <w:rsid w:val="000C274F"/>
    <w:rsid w:val="000C47C7"/>
    <w:rsid w:val="000D2D0E"/>
    <w:rsid w:val="0010112F"/>
    <w:rsid w:val="00124056"/>
    <w:rsid w:val="00197DCB"/>
    <w:rsid w:val="001C30F2"/>
    <w:rsid w:val="001E2D95"/>
    <w:rsid w:val="00241494"/>
    <w:rsid w:val="0024654C"/>
    <w:rsid w:val="003266F1"/>
    <w:rsid w:val="00337140"/>
    <w:rsid w:val="003423A2"/>
    <w:rsid w:val="003437E9"/>
    <w:rsid w:val="00380897"/>
    <w:rsid w:val="003B0A61"/>
    <w:rsid w:val="004724DE"/>
    <w:rsid w:val="00472C45"/>
    <w:rsid w:val="005A01EC"/>
    <w:rsid w:val="005C47CE"/>
    <w:rsid w:val="005E0207"/>
    <w:rsid w:val="005E3BDC"/>
    <w:rsid w:val="006B1769"/>
    <w:rsid w:val="006D061A"/>
    <w:rsid w:val="0071109B"/>
    <w:rsid w:val="007140C1"/>
    <w:rsid w:val="00771C6C"/>
    <w:rsid w:val="007A07E8"/>
    <w:rsid w:val="007A7839"/>
    <w:rsid w:val="00851702"/>
    <w:rsid w:val="008C0CDF"/>
    <w:rsid w:val="008D23FF"/>
    <w:rsid w:val="008D5E5D"/>
    <w:rsid w:val="008F315E"/>
    <w:rsid w:val="0090404B"/>
    <w:rsid w:val="00905CBD"/>
    <w:rsid w:val="00962D22"/>
    <w:rsid w:val="009829D1"/>
    <w:rsid w:val="009922B6"/>
    <w:rsid w:val="00A0459E"/>
    <w:rsid w:val="00A312E9"/>
    <w:rsid w:val="00A568C5"/>
    <w:rsid w:val="00AE3136"/>
    <w:rsid w:val="00B50842"/>
    <w:rsid w:val="00BD64C5"/>
    <w:rsid w:val="00BF1ADC"/>
    <w:rsid w:val="00C0653A"/>
    <w:rsid w:val="00C637A2"/>
    <w:rsid w:val="00C7113D"/>
    <w:rsid w:val="00C77B5B"/>
    <w:rsid w:val="00D52E71"/>
    <w:rsid w:val="00D75951"/>
    <w:rsid w:val="00E03798"/>
    <w:rsid w:val="00E120D9"/>
    <w:rsid w:val="00E30704"/>
    <w:rsid w:val="00E64DE0"/>
    <w:rsid w:val="00F71226"/>
    <w:rsid w:val="00F84D7F"/>
    <w:rsid w:val="00FA170F"/>
    <w:rsid w:val="00FC24D8"/>
    <w:rsid w:val="01014C9D"/>
    <w:rsid w:val="068C5C42"/>
    <w:rsid w:val="06D219DF"/>
    <w:rsid w:val="0D1A4AF4"/>
    <w:rsid w:val="15FB06EE"/>
    <w:rsid w:val="18DE7D7D"/>
    <w:rsid w:val="1F132CEA"/>
    <w:rsid w:val="242F3DD2"/>
    <w:rsid w:val="35ED19A9"/>
    <w:rsid w:val="3976775D"/>
    <w:rsid w:val="397A7B42"/>
    <w:rsid w:val="56E937EC"/>
    <w:rsid w:val="5DCD334E"/>
    <w:rsid w:val="6175771E"/>
    <w:rsid w:val="642B47F1"/>
    <w:rsid w:val="68BA61BA"/>
    <w:rsid w:val="725B3F0E"/>
    <w:rsid w:val="73743D22"/>
    <w:rsid w:val="780037E6"/>
    <w:rsid w:val="7E93079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01"/>
    <w:basedOn w:val="5"/>
    <w:qFormat/>
    <w:uiPriority w:val="0"/>
    <w:rPr>
      <w:rFonts w:ascii="Calibri" w:hAnsi="Calibri" w:cs="Calibri"/>
      <w:color w:val="000000"/>
      <w:sz w:val="22"/>
      <w:szCs w:val="22"/>
      <w:u w:val="none"/>
    </w:rPr>
  </w:style>
  <w:style w:type="character" w:customStyle="1" w:styleId="7">
    <w:name w:val="font11"/>
    <w:basedOn w:val="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b1d969c5-3d24-4695-87a8-ac250073cff2</errorID>
      <errorWord>旗委、政府</errorWord>
      <group>L1_Political</group>
      <groupName>政治性问题</groupName>
      <ability>L2_Unpolitical</ability>
      <abilityName>政治敏感错误</abilityName>
      <candidateList>
        <item>旗委、旗政府</item>
      </candidateList>
      <explain/>
      <paraID>6A336E68</paraID>
      <start>57</start>
      <end>62</end>
      <status>unmodified</status>
      <modifiedWord/>
      <trackRevisions>false</trackRevisions>
    </reviewItem>
    <reviewItem>
      <errorID>b328896b-5634-4ed8-8366-4d568cbb2f94</errorID>
      <errorWord>维护结构</errorWord>
      <group>L1_Word</group>
      <groupName>字词问题</groupName>
      <ability>L2_Typo</ability>
      <abilityName>字词错误</abilityName>
      <candidateList>
        <item>围护结构</item>
      </candidateList>
      <explain>存在发音相同字词的误用。</explain>
      <paraID>4167915C</paraID>
      <start>4</start>
      <end>8</end>
      <status>unmodified</status>
      <modifiedWord/>
      <trackRevisions>false</trackRevisions>
    </reviewItem>
    <reviewItem>
      <errorID>73878720-71f5-4b5a-b1be-13d8de76e1e3</errorID>
      <errorWord>不变</errorWord>
      <group>L1_Word</group>
      <groupName>字词问题</groupName>
      <ability>L2_Typo</ability>
      <abilityName>字词错误</abilityName>
      <candidateList>
        <item>不</item>
      </candidateList>
      <explain/>
      <paraID>1B14BB07</paraID>
      <start>138</start>
      <end>140</end>
      <status>unmodified</status>
      <modifiedWord/>
      <trackRevisions>false</trackRevisions>
    </reviewItem>
    <reviewItem>
      <errorID>13c0d472-2538-45af-8582-486904751820</errorID>
      <errorWord>&lt;</errorWord>
      <group>L1_Format</group>
      <groupName>格式问题</groupName>
      <ability>L2_HalfPunc</ability>
      <abilityName>全半角检查</abilityName>
      <candidateList>
        <item>〈</item>
      </candidateList>
      <explain>文本全半角错误。</explain>
      <paraID>4BA64930</paraID>
      <start>166</start>
      <end>167</end>
      <status>unmodified</status>
      <modifiedWord/>
      <trackRevisions>false</trackRevisions>
    </reviewItem>
    <reviewItem>
      <errorID>a799fc32-6326-4a36-94f5-4f5481f4bdae</errorID>
      <errorWord>&gt;的通知》</errorWord>
      <group>L1_Punc</group>
      <groupName>标点问题</groupName>
      <ability>L2_Punc</ability>
      <abilityName>标点符号检查</abilityName>
      <candidateList>
        <item>〉的通知》</item>
      </candidateList>
      <explain/>
      <paraID>4BA64930</paraID>
      <start>190</start>
      <end>195</end>
      <status>unmodified</status>
      <modifiedWord/>
      <trackRevisions>false</trackRevisions>
    </reviewItem>
    <reviewItem>
      <errorID>4a5eb7cc-367c-40b8-81c2-4e9096983887</errorID>
      <errorWord>)</errorWord>
      <group>L1_Format</group>
      <groupName>格式问题</groupName>
      <ability>L2_HalfPunc</ability>
      <abilityName>全半角检查</abilityName>
      <candidateList>
        <item>）</item>
      </candidateList>
      <explain>文本全半角错误。</explain>
      <paraID>54D470C9</paraID>
      <start>109</start>
      <end>110</end>
      <status>unmodified</status>
      <modifiedWord/>
      <trackRevisions>false</trackRevisions>
    </reviewItem>
    <reviewItem>
      <errorID>4ee97949-f55a-4d7e-9aae-6cb7a9266680</errorID>
      <errorWord>)</errorWord>
      <group>L1_Format</group>
      <groupName>格式问题</groupName>
      <ability>L2_HalfPunc</ability>
      <abilityName>全半角检查</abilityName>
      <candidateList>
        <item>）</item>
      </candidateList>
      <explain>文本全半角错误。</explain>
      <paraID>7F8300A5</paraID>
      <start>4</start>
      <end>5</end>
      <status>unmodified</status>
      <modifiedWord/>
      <trackRevisions>false</trackRevisions>
    </reviewItem>
    <reviewItem>
      <errorID>9279213f-2f7f-4017-941d-acb2ac7e99e6</errorID>
      <errorWord>)</errorWord>
      <group>L1_Format</group>
      <groupName>格式问题</groupName>
      <ability>L2_HalfPunc</ability>
      <abilityName>全半角检查</abilityName>
      <candidateList>
        <item>）</item>
      </candidateList>
      <explain>文本全半角错误。</explain>
      <paraID> BECE50A</paraID>
      <start>7</start>
      <end>8</end>
      <status>unmodified</status>
      <modifiedWord/>
      <trackRevisions>false</trackRevisions>
    </reviewItem>
    <reviewItem>
      <errorID>7130cf3a-baba-4fb8-80f8-cd716ed2df08</errorID>
      <errorWord>)</errorWord>
      <group>L1_Format</group>
      <groupName>格式问题</groupName>
      <ability>L2_HalfPunc</ability>
      <abilityName>全半角检查</abilityName>
      <candidateList>
        <item>）</item>
      </candidateList>
      <explain>文本全半角错误。</explain>
      <paraID>3218F4B5</paraID>
      <start>4</start>
      <end>5</end>
      <status>unmodified</status>
      <modifiedWord/>
      <trackRevisions>false</trackRevisions>
    </reviewItem>
    <reviewItem>
      <errorID>569d5fa4-dea3-4705-84b4-f106bd4fedf1</errorID>
      <errorWord>)</errorWord>
      <group>L1_Format</group>
      <groupName>格式问题</groupName>
      <ability>L2_HalfPunc</ability>
      <abilityName>全半角检查</abilityName>
      <candidateList>
        <item>）</item>
      </candidateList>
      <explain>文本全半角错误。</explain>
      <paraID>77EF7A15</paraID>
      <start>6</start>
      <end>7</end>
      <status>unmodified</status>
      <modifiedWord/>
      <trackRevisions>false</trackRevisions>
    </reviewItem>
    <reviewItem>
      <errorID>e8e385d1-45b1-4b36-850b-1896a575c379</errorID>
      <errorWord>)</errorWord>
      <group>L1_Format</group>
      <groupName>格式问题</groupName>
      <ability>L2_HalfPunc</ability>
      <abilityName>全半角检查</abilityName>
      <candidateList>
        <item>）</item>
      </candidateList>
      <explain>文本全半角错误。</explain>
      <paraID> 28F66D9</paraID>
      <start>4</start>
      <end>5</end>
      <status>unmodified</status>
      <modifiedWord/>
      <trackRevisions>false</trackRevisions>
    </reviewItem>
    <reviewItem>
      <errorID>0f3d01a2-7cf7-4efb-9161-141df10541b8</errorID>
      <errorWord>)</errorWord>
      <group>L1_Format</group>
      <groupName>格式问题</groupName>
      <ability>L2_HalfPunc</ability>
      <abilityName>全半角检查</abilityName>
      <candidateList>
        <item>）</item>
      </candidateList>
      <explain>文本全半角错误。</explain>
      <paraID>1A3970A6</paraID>
      <start>6</start>
      <end>7</end>
      <status>unmodified</status>
      <modifiedWord/>
      <trackRevisions>false</trackRevisions>
    </reviewItem>
    <reviewItem>
      <errorID>27f40f23-9074-4976-8b1a-d9022e8c63c3</errorID>
      <errorWord>)</errorWord>
      <group>L1_Format</group>
      <groupName>格式问题</groupName>
      <ability>L2_HalfPunc</ability>
      <abilityName>全半角检查</abilityName>
      <candidateList>
        <item>）</item>
      </candidateList>
      <explain>文本全半角错误。</explain>
      <paraID>76CB0540</paraID>
      <start>4</start>
      <end>5</end>
      <status>unmodified</status>
      <modifiedWord/>
      <trackRevisions>false</trackRevisions>
    </reviewItem>
    <reviewItem>
      <errorID>7de1b3d8-4614-4fdd-8eaa-600115b5f8a5</errorID>
      <errorWord>)</errorWord>
      <group>L1_Format</group>
      <groupName>格式问题</groupName>
      <ability>L2_HalfPunc</ability>
      <abilityName>全半角检查</abilityName>
      <candidateList>
        <item>）</item>
      </candidateList>
      <explain>文本全半角错误。</explain>
      <paraID>759DC217</paraID>
      <start>7</start>
      <end>8</end>
      <status>unmodified</status>
      <modifiedWord/>
      <trackRevisions>false</trackRevisions>
    </reviewItem>
    <reviewItem>
      <errorID>7f3fea43-d411-44fa-91d1-cd32c7c53d57</errorID>
      <errorWord>)</errorWord>
      <group>L1_Format</group>
      <groupName>格式问题</groupName>
      <ability>L2_HalfPunc</ability>
      <abilityName>全半角检查</abilityName>
      <candidateList>
        <item>）</item>
      </candidateList>
      <explain>文本全半角错误。</explain>
      <paraID>3229C1CF</paraID>
      <start>4</start>
      <end>5</end>
      <status>unmodified</status>
      <modifiedWord/>
      <trackRevisions>false</trackRevisions>
    </reviewItem>
    <reviewItem>
      <errorID>fd930a0d-1504-40f0-87fe-93c4fb0c9284</errorID>
      <errorWord>)</errorWord>
      <group>L1_Format</group>
      <groupName>格式问题</groupName>
      <ability>L2_HalfPunc</ability>
      <abilityName>全半角检查</abilityName>
      <candidateList>
        <item>）</item>
      </candidateList>
      <explain>文本全半角错误。</explain>
      <paraID>34E3436F</paraID>
      <start>7</start>
      <end>8</end>
      <status>unmodified</status>
      <modifiedWord/>
      <trackRevisions>false</trackRevisions>
    </reviewItem>
    <reviewItem>
      <errorID>78c30d3f-1881-480e-8302-afd9150297fa</errorID>
      <errorWord>)</errorWord>
      <group>L1_Format</group>
      <groupName>格式问题</groupName>
      <ability>L2_HalfPunc</ability>
      <abilityName>全半角检查</abilityName>
      <candidateList>
        <item>）</item>
      </candidateList>
      <explain>文本全半角错误。</explain>
      <paraID>63769BF8</paraID>
      <start>4</start>
      <end>5</end>
      <status>unmodified</status>
      <modifiedWord/>
      <trackRevisions>false</trackRevisions>
    </reviewItem>
    <reviewItem>
      <errorID>ac61f16b-6825-447f-a50b-d4fa908bc4d9</errorID>
      <errorWord>)</errorWord>
      <group>L1_Format</group>
      <groupName>格式问题</groupName>
      <ability>L2_HalfPunc</ability>
      <abilityName>全半角检查</abilityName>
      <candidateList>
        <item>）</item>
      </candidateList>
      <explain>文本全半角错误。</explain>
      <paraID>7EE212CF</paraID>
      <start>7</start>
      <end>8</end>
      <status>unmodified</status>
      <modifiedWord/>
      <trackRevisions>false</trackRevisions>
    </reviewItem>
    <reviewItem>
      <errorID>df94f40b-3287-4bee-a2ea-5fbe41b1c35a</errorID>
      <errorWord>:</errorWord>
      <group>L1_Format</group>
      <groupName>格式问题</groupName>
      <ability>L2_HalfPunc</ability>
      <abilityName>全半角检查</abilityName>
      <candidateList>
        <item>：</item>
      </candidateList>
      <explain>文本全半角错误。</explain>
      <paraID>1BBCCEB0</paraID>
      <start>8</start>
      <end>9</end>
      <status>unmodified</status>
      <modifiedWord/>
      <trackRevisions>false</trackRevisions>
    </reviewItem>
    <reviewItem>
      <errorID>2eb4b0d4-eefb-4829-b59f-ca2e508e9f9f</errorID>
      <errorWord>)</errorWord>
      <group>L1_Format</group>
      <groupName>格式问题</groupName>
      <ability>L2_HalfPunc</ability>
      <abilityName>全半角检查</abilityName>
      <candidateList>
        <item>）</item>
      </candidateList>
      <explain>文本全半角错误。</explain>
      <paraID>13425809</paraID>
      <start>30</start>
      <end>31</end>
      <status>unmodified</status>
      <modifiedWord/>
      <trackRevisions>false</trackRevisions>
    </reviewItem>
    <reviewItem>
      <errorID>f505b1d9-8721-4eaa-98ba-4932aafd3663</errorID>
      <errorWord>:</errorWord>
      <group>L1_Format</group>
      <groupName>格式问题</groupName>
      <ability>L2_HalfPunc</ability>
      <abilityName>全半角检查</abilityName>
      <candidateList>
        <item>：</item>
      </candidateList>
      <explain>文本全半角错误。</explain>
      <paraID>13425809</paraID>
      <start>113</start>
      <end>114</end>
      <status>unmodified</status>
      <modifiedWord/>
      <trackRevisions>false</trackRevisions>
    </reviewItem>
    <reviewItem>
      <errorID>48cbdf64-df41-4106-9b10-e302e6b70e9e</errorID>
      <errorWord>填体</errorWord>
      <group>L1_Word</group>
      <groupName>字词问题</groupName>
      <ability>L2_Typo</ability>
      <abilityName>字词错误</abilityName>
      <candidateList>
        <item>墙体</item>
      </candidateList>
      <explain/>
      <paraID>7CF417D9</paraID>
      <start>5</start>
      <end>7</end>
      <status>unmodified</status>
      <modifiedWord/>
      <trackRevisions>false</trackRevisions>
    </reviewItem>
    <reviewItem>
      <errorID>6f596e0a-5005-48a6-b7e4-51c71688a868</errorID>
      <errorWord>)</errorWord>
      <group>L1_Format</group>
      <groupName>格式问题</groupName>
      <ability>L2_HalfPunc</ability>
      <abilityName>全半角检查</abilityName>
      <candidateList>
        <item>）</item>
      </candidateList>
      <explain>文本全半角错误。</explain>
      <paraID>7CF417D9</paraID>
      <start>22</start>
      <end>23</end>
      <status>unmodified</status>
      <modifiedWord/>
      <trackRevisions>false</trackRevisions>
    </reviewItem>
    <reviewItem>
      <errorID>d1439994-9068-4476-8e40-7877463b22da</errorID>
      <errorWord>、</errorWord>
      <group>L1_Punc</group>
      <groupName>标点问题</groupName>
      <ability>L2_Punc</ability>
      <abilityName>标点符号检查</abilityName>
      <candidateList>
        <item>.</item>
      </candidateList>
      <explain/>
      <paraID>65911A92</paraID>
      <start>1</start>
      <end>2</end>
      <status>unmodified</status>
      <modifiedWord/>
      <trackRevisions>false</trackRevisions>
    </reviewItem>
    <reviewItem>
      <errorID>a5f82a19-11de-499e-93f2-4bba058312c8</errorID>
      <errorWord>:</errorWord>
      <group>L1_Format</group>
      <groupName>格式问题</groupName>
      <ability>L2_HalfPunc</ability>
      <abilityName>全半角检查</abilityName>
      <candidateList>
        <item>：</item>
      </candidateList>
      <explain>文本全半角错误。</explain>
      <paraID>67A34108</paraID>
      <start>8</start>
      <end>9</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bb7dc6-8ec7-4d38-a2a6-68ee7fa75062}">
  <ds:schemaRefs/>
</ds:datastoreItem>
</file>

<file path=docProps/app.xml><?xml version="1.0" encoding="utf-8"?>
<Properties xmlns="http://schemas.openxmlformats.org/officeDocument/2006/extended-properties" xmlns:vt="http://schemas.openxmlformats.org/officeDocument/2006/docPropsVTypes">
  <Template>Normal</Template>
  <Pages>4</Pages>
  <Words>1419</Words>
  <Characters>1448</Characters>
  <Lines>52</Lines>
  <Paragraphs>14</Paragraphs>
  <TotalTime>2</TotalTime>
  <ScaleCrop>false</ScaleCrop>
  <LinksUpToDate>false</LinksUpToDate>
  <CharactersWithSpaces>1497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2020-12-22T10:22:00Z</dcterms:created>
  <dc:creator>User</dc:creator>
  <cp:lastModifiedBy>15004767971</cp:lastModifiedBy>
  <cp:lastPrinted>2026-04-10T01:22:00Z</cp:lastPrinted>
  <dcterms:modified xsi:type="dcterms:W3CDTF">2026-04-13T08:17:08Z</dcterms:modified>
  <dc:title>克什克腾旗违法建设和违法违规审批专项清查工作实施方案</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eyJoZGlkIjoiNmNmYzlkMGFjMGVhN2ZkY2U0ODkyYmExNTVhMjM0YjYiLCJ1c2VySWQiOiIxNjE3Njc3MTk0In0=</vt:lpwstr>
  </property>
  <property fmtid="{D5CDD505-2E9C-101B-9397-08002B2CF9AE}" pid="3" name="KSOProductBuildVer">
    <vt:lpwstr>2052-12.1.0.25225</vt:lpwstr>
  </property>
  <property fmtid="{D5CDD505-2E9C-101B-9397-08002B2CF9AE}" pid="4" name="ICV">
    <vt:lpwstr>8915B75BFC4D4C7E9DC909573E90AD6E_13</vt:lpwstr>
  </property>
</Properties>
</file>